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黔西南州气象局</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default" w:ascii="方正小标宋简体" w:hAnsi="方正小标宋简体" w:eastAsia="方正小标宋简体" w:cs="方正小标宋简体"/>
          <w:sz w:val="44"/>
          <w:szCs w:val="44"/>
          <w:lang w:val="en-US"/>
        </w:rPr>
        <w:t>2</w:t>
      </w:r>
      <w:r>
        <w:rPr>
          <w:rFonts w:hint="eastAsia" w:ascii="方正小标宋简体" w:hAnsi="方正小标宋简体" w:eastAsia="方正小标宋简体" w:cs="方正小标宋简体"/>
          <w:sz w:val="44"/>
          <w:szCs w:val="44"/>
        </w:rPr>
        <w:t>年度政府信息公开工作年度报告</w:t>
      </w:r>
    </w:p>
    <w:p>
      <w:r>
        <w:rPr>
          <w:rFonts w:hint="eastAsia"/>
        </w:rPr>
        <w:t> </w:t>
      </w:r>
    </w:p>
    <w:p>
      <w:pPr>
        <w:ind w:firstLine="600" w:firstLineChars="2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根据《中华人民共和国政府信息公开条例》（国务院令711号）和《国务院办公厅政府信息与政务公开办公室关于工作年度报告有关事项的通知》（国办公开函〔2019〕60号）文件精神，结合上级要求，黔西南州气象局组织编制了202</w:t>
      </w:r>
      <w:r>
        <w:rPr>
          <w:rFonts w:hint="default" w:ascii="方正仿宋_GB2312" w:hAnsi="方正仿宋_GB2312" w:eastAsia="方正仿宋_GB2312" w:cs="方正仿宋_GB2312"/>
          <w:sz w:val="30"/>
          <w:szCs w:val="30"/>
          <w:lang w:val="en-US"/>
        </w:rPr>
        <w:t>2</w:t>
      </w:r>
      <w:r>
        <w:rPr>
          <w:rFonts w:hint="eastAsia" w:ascii="方正仿宋_GB2312" w:hAnsi="方正仿宋_GB2312" w:eastAsia="方正仿宋_GB2312" w:cs="方正仿宋_GB2312"/>
          <w:sz w:val="30"/>
          <w:szCs w:val="30"/>
        </w:rPr>
        <w:t>年度政务信息公开工作报告。主要内容有：202</w:t>
      </w:r>
      <w:r>
        <w:rPr>
          <w:rFonts w:hint="default" w:ascii="方正仿宋_GB2312" w:hAnsi="方正仿宋_GB2312" w:eastAsia="方正仿宋_GB2312" w:cs="方正仿宋_GB2312"/>
          <w:sz w:val="30"/>
          <w:szCs w:val="30"/>
          <w:lang w:val="en-US"/>
        </w:rPr>
        <w:t>2</w:t>
      </w:r>
      <w:r>
        <w:rPr>
          <w:rFonts w:hint="eastAsia" w:ascii="方正仿宋_GB2312" w:hAnsi="方正仿宋_GB2312" w:eastAsia="方正仿宋_GB2312" w:cs="方正仿宋_GB2312"/>
          <w:sz w:val="30"/>
          <w:szCs w:val="30"/>
        </w:rPr>
        <w:t>年度基本情况，主动公开政府信息情况，收到和处理政府信息公开申请情况，政府信息公开行政复议、提起行政诉讼情况，存在的主要问题及改进情况，其他需要报告的事项等6项内容。</w:t>
      </w:r>
    </w:p>
    <w:p>
      <w:pPr>
        <w:ind w:firstLine="600" w:firstLineChars="2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本年度报告中使用数据统计期限为202</w:t>
      </w:r>
      <w:r>
        <w:rPr>
          <w:rFonts w:hint="default" w:ascii="方正仿宋_GB2312" w:hAnsi="方正仿宋_GB2312" w:eastAsia="方正仿宋_GB2312" w:cs="方正仿宋_GB2312"/>
          <w:sz w:val="30"/>
          <w:szCs w:val="30"/>
          <w:lang w:val="en-US"/>
        </w:rPr>
        <w:t>2</w:t>
      </w:r>
      <w:r>
        <w:rPr>
          <w:rFonts w:hint="eastAsia" w:ascii="方正仿宋_GB2312" w:hAnsi="方正仿宋_GB2312" w:eastAsia="方正仿宋_GB2312" w:cs="方正仿宋_GB2312"/>
          <w:sz w:val="30"/>
          <w:szCs w:val="30"/>
        </w:rPr>
        <w:t>年1月1日至12月31日。如对本报告有任何疑问，请联系：黔西南州气象局办公室，电话：0859-3222487。</w:t>
      </w:r>
    </w:p>
    <w:p>
      <w:pPr>
        <w:ind w:firstLine="640" w:firstLineChars="200"/>
        <w:rPr>
          <w:rFonts w:ascii="黑体" w:hAnsi="黑体" w:eastAsia="黑体" w:cs="黑体"/>
          <w:sz w:val="32"/>
          <w:szCs w:val="32"/>
        </w:rPr>
      </w:pPr>
      <w:r>
        <w:rPr>
          <w:rFonts w:hint="eastAsia" w:ascii="黑体" w:hAnsi="黑体" w:eastAsia="黑体" w:cs="黑体"/>
          <w:sz w:val="32"/>
          <w:szCs w:val="32"/>
        </w:rPr>
        <w:t>一、基本情况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w:t>
      </w:r>
      <w:r>
        <w:rPr>
          <w:rFonts w:hint="default" w:ascii="方正仿宋_GB2312" w:hAnsi="方正仿宋_GB2312" w:eastAsia="方正仿宋_GB2312" w:cs="方正仿宋_GB2312"/>
          <w:sz w:val="30"/>
          <w:szCs w:val="30"/>
          <w:lang w:val="en-US"/>
        </w:rPr>
        <w:t>2</w:t>
      </w:r>
      <w:r>
        <w:rPr>
          <w:rFonts w:hint="eastAsia" w:ascii="方正仿宋_GB2312" w:hAnsi="方正仿宋_GB2312" w:eastAsia="方正仿宋_GB2312" w:cs="方正仿宋_GB2312"/>
          <w:sz w:val="30"/>
          <w:szCs w:val="30"/>
        </w:rPr>
        <w:t>年，黔西南州气象局政府信息公开工作以习近平新时代中国特色社会主义思想为指导，深入贯彻</w:t>
      </w:r>
      <w:r>
        <w:rPr>
          <w:rFonts w:hint="eastAsia" w:ascii="仿宋_GB2312" w:hAnsi="宋体" w:eastAsia="仿宋_GB2312" w:cs="宋体"/>
          <w:color w:val="444444"/>
          <w:kern w:val="0"/>
          <w:sz w:val="32"/>
          <w:szCs w:val="32"/>
        </w:rPr>
        <w:t>《中华人民共和国政府信息公开条例》，全面落实省气象局和州政府政务公开工作部署，</w:t>
      </w:r>
      <w:r>
        <w:rPr>
          <w:rFonts w:hint="eastAsia" w:ascii="方正仿宋_GB2312" w:hAnsi="方正仿宋_GB2312" w:eastAsia="方正仿宋_GB2312" w:cs="方正仿宋_GB2312"/>
          <w:sz w:val="30"/>
          <w:szCs w:val="30"/>
        </w:rPr>
        <w:t>不断健全完善政务信息公开工作制度，扎实有序做好政务信息公开工作，切实保障人民群众的知情权、参与权、监督权和表达权。</w:t>
      </w:r>
    </w:p>
    <w:p>
      <w:pPr>
        <w:ind w:firstLine="602" w:firstLineChars="2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b/>
          <w:bCs/>
          <w:sz w:val="30"/>
          <w:szCs w:val="30"/>
        </w:rPr>
        <w:t>一是</w:t>
      </w:r>
      <w:r>
        <w:rPr>
          <w:rFonts w:hint="eastAsia" w:ascii="方正仿宋_GB2312" w:hAnsi="方正仿宋_GB2312" w:eastAsia="方正仿宋_GB2312" w:cs="方正仿宋_GB2312"/>
          <w:sz w:val="30"/>
          <w:szCs w:val="30"/>
          <w:lang w:eastAsia="zh-CN"/>
        </w:rPr>
        <w:t>完善</w:t>
      </w:r>
      <w:r>
        <w:rPr>
          <w:rFonts w:hint="eastAsia" w:ascii="方正仿宋_GB2312" w:hAnsi="方正仿宋_GB2312" w:eastAsia="方正仿宋_GB2312" w:cs="方正仿宋_GB2312"/>
          <w:sz w:val="30"/>
          <w:szCs w:val="30"/>
        </w:rPr>
        <w:t>气象部门政府信息公开工作的组织领导，</w:t>
      </w:r>
      <w:r>
        <w:rPr>
          <w:rFonts w:hint="eastAsia" w:ascii="方正仿宋_GB2312" w:hAnsi="方正仿宋_GB2312" w:eastAsia="方正仿宋_GB2312" w:cs="方正仿宋_GB2312"/>
          <w:sz w:val="30"/>
          <w:szCs w:val="30"/>
          <w:lang w:eastAsia="zh-CN"/>
        </w:rPr>
        <w:t>明确分管领导和责任科室，明确局</w:t>
      </w:r>
      <w:r>
        <w:rPr>
          <w:rFonts w:hint="eastAsia" w:ascii="方正仿宋_GB2312" w:hAnsi="方正仿宋_GB2312" w:eastAsia="方正仿宋_GB2312" w:cs="方正仿宋_GB2312"/>
          <w:sz w:val="30"/>
          <w:szCs w:val="30"/>
        </w:rPr>
        <w:t>办公室是政府信息公开的主管部门，统筹考虑、协同推进政府信息公开、网站</w:t>
      </w:r>
      <w:r>
        <w:rPr>
          <w:rFonts w:hint="eastAsia" w:ascii="方正仿宋_GB2312" w:hAnsi="方正仿宋_GB2312" w:eastAsia="方正仿宋_GB2312" w:cs="方正仿宋_GB2312"/>
          <w:sz w:val="30"/>
          <w:szCs w:val="30"/>
          <w:lang w:eastAsia="zh-CN"/>
        </w:rPr>
        <w:t>运行维护</w:t>
      </w:r>
      <w:r>
        <w:rPr>
          <w:rFonts w:hint="eastAsia" w:ascii="方正仿宋_GB2312" w:hAnsi="方正仿宋_GB2312" w:eastAsia="方正仿宋_GB2312" w:cs="方正仿宋_GB2312"/>
          <w:sz w:val="30"/>
          <w:szCs w:val="30"/>
        </w:rPr>
        <w:t>、政府数据开放等工作。</w:t>
      </w:r>
      <w:r>
        <w:rPr>
          <w:rFonts w:hint="eastAsia" w:ascii="方正仿宋_GB2312" w:hAnsi="方正仿宋_GB2312" w:eastAsia="方正仿宋_GB2312" w:cs="方正仿宋_GB2312"/>
          <w:b/>
          <w:bCs/>
          <w:sz w:val="30"/>
          <w:szCs w:val="30"/>
        </w:rPr>
        <w:t>二是</w:t>
      </w:r>
      <w:r>
        <w:rPr>
          <w:rFonts w:hint="eastAsia" w:ascii="方正仿宋_GB2312" w:hAnsi="方正仿宋_GB2312" w:eastAsia="方正仿宋_GB2312" w:cs="方正仿宋_GB2312"/>
          <w:sz w:val="30"/>
          <w:szCs w:val="30"/>
        </w:rPr>
        <w:t>按照政府信息公开内容、流程、平台、时限等相关标准，推动政府信息公开工作规范化。</w:t>
      </w:r>
      <w:r>
        <w:rPr>
          <w:rFonts w:hint="eastAsia" w:ascii="方正仿宋_GB2312" w:hAnsi="方正仿宋_GB2312" w:eastAsia="方正仿宋_GB2312" w:cs="方正仿宋_GB2312"/>
          <w:b/>
          <w:bCs/>
          <w:sz w:val="30"/>
          <w:szCs w:val="30"/>
        </w:rPr>
        <w:t>三是</w:t>
      </w:r>
      <w:r>
        <w:rPr>
          <w:rFonts w:hint="eastAsia" w:ascii="方正仿宋_GB2312" w:hAnsi="方正仿宋_GB2312" w:eastAsia="方正仿宋_GB2312" w:cs="方正仿宋_GB2312"/>
          <w:sz w:val="30"/>
          <w:szCs w:val="30"/>
        </w:rPr>
        <w:t>遵循 “公开、透明、公平、便民”的原则，利用互联网、新媒体等积极拓宽政府信息公开渠道，保障公众的知情权，同时</w:t>
      </w:r>
      <w:r>
        <w:rPr>
          <w:rFonts w:hint="eastAsia" w:ascii="方正仿宋_GB2312" w:hAnsi="方正仿宋_GB2312" w:eastAsia="方正仿宋_GB2312" w:cs="方正仿宋_GB2312"/>
          <w:sz w:val="30"/>
          <w:szCs w:val="30"/>
          <w:lang w:eastAsia="zh-CN"/>
        </w:rPr>
        <w:t>严格执行信息发布</w:t>
      </w:r>
      <w:r>
        <w:rPr>
          <w:rFonts w:hint="eastAsia" w:ascii="方正仿宋_GB2312" w:hAnsi="方正仿宋_GB2312" w:eastAsia="方正仿宋_GB2312" w:cs="方正仿宋_GB2312"/>
          <w:sz w:val="30"/>
          <w:szCs w:val="30"/>
        </w:rPr>
        <w:t>“三审三校”</w:t>
      </w:r>
      <w:r>
        <w:rPr>
          <w:rFonts w:hint="eastAsia" w:ascii="方正仿宋_GB2312" w:hAnsi="方正仿宋_GB2312" w:eastAsia="方正仿宋_GB2312" w:cs="方正仿宋_GB2312"/>
          <w:sz w:val="30"/>
          <w:szCs w:val="30"/>
          <w:lang w:eastAsia="zh-CN"/>
        </w:rPr>
        <w:t>制度，严格</w:t>
      </w:r>
      <w:r>
        <w:rPr>
          <w:rFonts w:hint="eastAsia" w:ascii="方正仿宋_GB2312" w:hAnsi="方正仿宋_GB2312" w:eastAsia="方正仿宋_GB2312" w:cs="方正仿宋_GB2312"/>
          <w:sz w:val="30"/>
          <w:szCs w:val="30"/>
        </w:rPr>
        <w:t>审核校对</w:t>
      </w:r>
      <w:r>
        <w:rPr>
          <w:rFonts w:hint="eastAsia" w:ascii="方正仿宋_GB2312" w:hAnsi="方正仿宋_GB2312" w:eastAsia="方正仿宋_GB2312" w:cs="方正仿宋_GB2312"/>
          <w:sz w:val="30"/>
          <w:szCs w:val="30"/>
          <w:lang w:eastAsia="zh-CN"/>
        </w:rPr>
        <w:t>和领导把关</w:t>
      </w:r>
      <w:r>
        <w:rPr>
          <w:rFonts w:hint="eastAsia" w:ascii="方正仿宋_GB2312" w:hAnsi="方正仿宋_GB2312" w:eastAsia="方正仿宋_GB2312" w:cs="方正仿宋_GB2312"/>
          <w:sz w:val="30"/>
          <w:szCs w:val="30"/>
        </w:rPr>
        <w:t>，确保公开的信息真实</w:t>
      </w:r>
      <w:r>
        <w:rPr>
          <w:rFonts w:hint="eastAsia" w:ascii="方正仿宋_GB2312" w:hAnsi="方正仿宋_GB2312" w:eastAsia="方正仿宋_GB2312" w:cs="方正仿宋_GB2312"/>
          <w:sz w:val="30"/>
          <w:szCs w:val="30"/>
          <w:lang w:eastAsia="zh-CN"/>
        </w:rPr>
        <w:t>、准确、</w:t>
      </w:r>
      <w:r>
        <w:rPr>
          <w:rFonts w:hint="eastAsia" w:ascii="方正仿宋_GB2312" w:hAnsi="方正仿宋_GB2312" w:eastAsia="方正仿宋_GB2312" w:cs="方正仿宋_GB2312"/>
          <w:sz w:val="30"/>
          <w:szCs w:val="30"/>
        </w:rPr>
        <w:t>有效。</w:t>
      </w:r>
      <w:r>
        <w:rPr>
          <w:rFonts w:hint="eastAsia" w:ascii="方正仿宋_GB2312" w:hAnsi="方正仿宋_GB2312" w:eastAsia="方正仿宋_GB2312" w:cs="方正仿宋_GB2312"/>
          <w:b/>
          <w:bCs/>
          <w:sz w:val="30"/>
          <w:szCs w:val="30"/>
        </w:rPr>
        <w:t>四是</w:t>
      </w:r>
      <w:r>
        <w:rPr>
          <w:rFonts w:hint="eastAsia" w:ascii="方正仿宋_GB2312" w:hAnsi="方正仿宋_GB2312" w:eastAsia="方正仿宋_GB2312" w:cs="方正仿宋_GB2312"/>
          <w:sz w:val="30"/>
          <w:szCs w:val="30"/>
        </w:rPr>
        <w:t>根据省</w:t>
      </w:r>
      <w:r>
        <w:rPr>
          <w:rFonts w:hint="eastAsia" w:ascii="方正仿宋_GB2312" w:hAnsi="方正仿宋_GB2312" w:eastAsia="方正仿宋_GB2312" w:cs="方正仿宋_GB2312"/>
          <w:sz w:val="30"/>
          <w:szCs w:val="30"/>
          <w:lang w:eastAsia="zh-CN"/>
        </w:rPr>
        <w:t>气象</w:t>
      </w:r>
      <w:r>
        <w:rPr>
          <w:rFonts w:hint="eastAsia" w:ascii="方正仿宋_GB2312" w:hAnsi="方正仿宋_GB2312" w:eastAsia="方正仿宋_GB2312" w:cs="方正仿宋_GB2312"/>
          <w:sz w:val="30"/>
          <w:szCs w:val="30"/>
        </w:rPr>
        <w:t>局和州政府要求做好全州气象部门预算决算和“三公”经费公开工作。扎实做好政府采购信息公开，及时完整公开采购文件、中标或成交结果、采购合同等。</w:t>
      </w:r>
      <w:r>
        <w:rPr>
          <w:rFonts w:hint="eastAsia" w:ascii="方正仿宋_GB2312" w:hAnsi="方正仿宋_GB2312" w:eastAsia="方正仿宋_GB2312" w:cs="方正仿宋_GB2312"/>
          <w:b/>
          <w:bCs/>
          <w:sz w:val="30"/>
          <w:szCs w:val="30"/>
        </w:rPr>
        <w:t>五是</w:t>
      </w:r>
      <w:r>
        <w:rPr>
          <w:rFonts w:hint="eastAsia" w:ascii="方正仿宋_GB2312" w:hAnsi="方正仿宋_GB2312" w:eastAsia="方正仿宋_GB2312" w:cs="方正仿宋_GB2312"/>
          <w:sz w:val="30"/>
          <w:szCs w:val="30"/>
          <w:lang w:eastAsia="zh-CN"/>
        </w:rPr>
        <w:t>落实</w:t>
      </w:r>
      <w:r>
        <w:rPr>
          <w:rFonts w:hint="eastAsia" w:ascii="方正仿宋_GB2312" w:hAnsi="方正仿宋_GB2312" w:eastAsia="方正仿宋_GB2312" w:cs="方正仿宋_GB2312"/>
          <w:sz w:val="30"/>
          <w:szCs w:val="30"/>
        </w:rPr>
        <w:t>气象部门重大业务项目和科技项目公开，做好项目基本信息、批复文件及验收情况等项目信息的公开工作。</w:t>
      </w:r>
      <w:r>
        <w:rPr>
          <w:rFonts w:hint="eastAsia" w:ascii="方正仿宋_GB2312" w:hAnsi="方正仿宋_GB2312" w:eastAsia="方正仿宋_GB2312" w:cs="方正仿宋_GB2312"/>
          <w:b/>
          <w:bCs/>
          <w:sz w:val="30"/>
          <w:szCs w:val="30"/>
        </w:rPr>
        <w:t>六是</w:t>
      </w:r>
      <w:r>
        <w:rPr>
          <w:rFonts w:hint="eastAsia" w:ascii="方正仿宋_GB2312" w:hAnsi="方正仿宋_GB2312" w:eastAsia="方正仿宋_GB2312" w:cs="方正仿宋_GB2312"/>
          <w:sz w:val="30"/>
          <w:szCs w:val="30"/>
        </w:rPr>
        <w:t>加强人事管理信息公开，做好气象部门人事任免等信息公开工作，准确、及时地公开气象部门公务员招录、人事招聘等有关信息。</w:t>
      </w:r>
      <w:r>
        <w:rPr>
          <w:rFonts w:hint="eastAsia" w:ascii="方正仿宋_GB2312" w:hAnsi="方正仿宋_GB2312" w:eastAsia="方正仿宋_GB2312" w:cs="方正仿宋_GB2312"/>
          <w:b/>
          <w:bCs/>
          <w:sz w:val="30"/>
          <w:szCs w:val="30"/>
        </w:rPr>
        <w:t>七是</w:t>
      </w:r>
      <w:r>
        <w:rPr>
          <w:rFonts w:hint="eastAsia" w:ascii="方正仿宋_GB2312" w:hAnsi="方正仿宋_GB2312" w:eastAsia="方正仿宋_GB2312" w:cs="方正仿宋_GB2312"/>
          <w:sz w:val="30"/>
          <w:szCs w:val="30"/>
        </w:rPr>
        <w:t>加强气象预警及应对突发事件信息发布，通过各种渠道，及时发布气象预警等信息。</w:t>
      </w:r>
    </w:p>
    <w:p>
      <w:pPr>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jc w:val="center"/>
        <w:tblLayout w:type="autofit"/>
        <w:tblCellMar>
          <w:top w:w="0" w:type="dxa"/>
          <w:left w:w="0" w:type="dxa"/>
          <w:bottom w:w="0" w:type="dxa"/>
          <w:right w:w="0" w:type="dxa"/>
        </w:tblCellMar>
      </w:tblPr>
      <w:tblGrid>
        <w:gridCol w:w="2103"/>
        <w:gridCol w:w="2103"/>
        <w:gridCol w:w="2103"/>
        <w:gridCol w:w="2117"/>
      </w:tblGrid>
      <w:tr>
        <w:tblPrEx>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r>
              <w:rPr>
                <w:rFonts w:hint="eastAsia"/>
              </w:rPr>
              <w:t>第二十条第（一）项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信息内容</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本年制发件数</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本年废止件数</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现行有效件数</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规章</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行政规范性文件</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c>
          <w:tcPr>
            <w:tcW w:w="2430" w:type="dxa"/>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r>
              <w:rPr>
                <w:rFonts w:hint="eastAsia"/>
              </w:rPr>
              <w:t>第二十条第（五）项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信息内容</w:t>
            </w:r>
          </w:p>
        </w:tc>
        <w:tc>
          <w:tcPr>
            <w:tcW w:w="730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本年处理决定数量</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行政许可</w:t>
            </w:r>
          </w:p>
        </w:tc>
        <w:tc>
          <w:tcPr>
            <w:tcW w:w="730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14</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r>
              <w:rPr>
                <w:rFonts w:hint="eastAsia"/>
              </w:rPr>
              <w:t>第二十条第（六）项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信息内容</w:t>
            </w:r>
          </w:p>
        </w:tc>
        <w:tc>
          <w:tcPr>
            <w:tcW w:w="730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本年处理决定数量</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行政处罚</w:t>
            </w:r>
          </w:p>
        </w:tc>
        <w:tc>
          <w:tcPr>
            <w:tcW w:w="730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行政强制</w:t>
            </w:r>
          </w:p>
        </w:tc>
        <w:tc>
          <w:tcPr>
            <w:tcW w:w="7305" w:type="dxa"/>
            <w:gridSpan w:val="3"/>
            <w:tcBorders>
              <w:top w:val="nil"/>
              <w:left w:val="nil"/>
              <w:bottom w:val="single" w:color="auto" w:sz="6" w:space="0"/>
              <w:right w:val="single" w:color="auto" w:sz="6" w:space="0"/>
            </w:tcBorders>
            <w:shd w:val="clear" w:color="auto" w:fill="auto"/>
            <w:tcMar>
              <w:left w:w="60" w:type="dxa"/>
              <w:right w:w="60" w:type="dxa"/>
            </w:tcMar>
            <w:vAlign w:val="center"/>
          </w:tcPr>
          <w:p>
            <w:r>
              <w:rPr>
                <w:rFonts w:hint="eastAsia"/>
              </w:rPr>
              <w:t>0</w:t>
            </w:r>
          </w:p>
        </w:tc>
      </w:tr>
      <w:tr>
        <w:tblPrEx>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r>
              <w:rPr>
                <w:rFonts w:hint="eastAsia"/>
              </w:rPr>
              <w:t>第二十条第（八）项</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信息内容</w:t>
            </w:r>
          </w:p>
        </w:tc>
        <w:tc>
          <w:tcPr>
            <w:tcW w:w="730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r>
              <w:rPr>
                <w:rFonts w:hint="eastAsia"/>
              </w:rPr>
              <w:t>本年收费金额（单位：万元）</w:t>
            </w:r>
          </w:p>
        </w:tc>
      </w:tr>
      <w:tr>
        <w:tblPrEx>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r>
              <w:rPr>
                <w:rFonts w:hint="eastAsia"/>
              </w:rPr>
              <w:t>行政事业性收费</w:t>
            </w:r>
          </w:p>
        </w:tc>
        <w:tc>
          <w:tcPr>
            <w:tcW w:w="7305" w:type="dxa"/>
            <w:gridSpan w:val="3"/>
            <w:tcBorders>
              <w:top w:val="nil"/>
              <w:left w:val="nil"/>
              <w:bottom w:val="single" w:color="auto" w:sz="6" w:space="0"/>
              <w:right w:val="single" w:color="000000" w:sz="6" w:space="0"/>
            </w:tcBorders>
            <w:shd w:val="clear" w:color="auto" w:fill="auto"/>
            <w:tcMar>
              <w:left w:w="60" w:type="dxa"/>
              <w:right w:w="60" w:type="dxa"/>
            </w:tcMar>
            <w:vAlign w:val="center"/>
          </w:tcPr>
          <w:p>
            <w:r>
              <w:rPr>
                <w:rFonts w:hint="eastAsia"/>
              </w:rPr>
              <w:t>0</w:t>
            </w:r>
          </w:p>
        </w:tc>
      </w:tr>
    </w:tbl>
    <w:p>
      <w:pPr>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5"/>
        <w:tblW w:w="0" w:type="auto"/>
        <w:jc w:val="center"/>
        <w:tblLayout w:type="autofit"/>
        <w:tblCellMar>
          <w:top w:w="0" w:type="dxa"/>
          <w:left w:w="0" w:type="dxa"/>
          <w:bottom w:w="0" w:type="dxa"/>
          <w:right w:w="0" w:type="dxa"/>
        </w:tblCellMar>
      </w:tblPr>
      <w:tblGrid>
        <w:gridCol w:w="704"/>
        <w:gridCol w:w="894"/>
        <w:gridCol w:w="2512"/>
        <w:gridCol w:w="599"/>
        <w:gridCol w:w="627"/>
        <w:gridCol w:w="627"/>
        <w:gridCol w:w="627"/>
        <w:gridCol w:w="627"/>
        <w:gridCol w:w="627"/>
        <w:gridCol w:w="627"/>
      </w:tblGrid>
      <w:tr>
        <w:tblPrEx>
          <w:tblCellMar>
            <w:top w:w="0" w:type="dxa"/>
            <w:left w:w="0" w:type="dxa"/>
            <w:bottom w:w="0" w:type="dxa"/>
            <w:right w:w="0" w:type="dxa"/>
          </w:tblCellMar>
        </w:tblPrEx>
        <w:trPr>
          <w:jc w:val="center"/>
        </w:trPr>
        <w:tc>
          <w:tcPr>
            <w:tcW w:w="5145" w:type="dxa"/>
            <w:gridSpan w:val="3"/>
            <w:vMerge w:val="restart"/>
            <w:tcBorders>
              <w:top w:val="single" w:color="auto" w:sz="6" w:space="0"/>
              <w:left w:val="single" w:color="auto" w:sz="6" w:space="0"/>
              <w:bottom w:val="outset" w:color="000000" w:sz="6" w:space="0"/>
              <w:right w:val="single" w:color="auto" w:sz="6" w:space="0"/>
            </w:tcBorders>
            <w:shd w:val="clear" w:color="auto" w:fill="auto"/>
            <w:tcMar>
              <w:left w:w="105" w:type="dxa"/>
              <w:right w:w="105" w:type="dxa"/>
            </w:tcMar>
            <w:vAlign w:val="center"/>
          </w:tcPr>
          <w:p>
            <w:pPr>
              <w:adjustRightInd w:val="0"/>
              <w:snapToGrid w:val="0"/>
              <w:spacing w:line="240" w:lineRule="atLeast"/>
            </w:pPr>
            <w:r>
              <w:t>（本列数据的勾稽关系为：第一项加第二项之和，等于第三项加第四项之和）</w:t>
            </w:r>
          </w:p>
        </w:tc>
        <w:tc>
          <w:tcPr>
            <w:tcW w:w="4995" w:type="dxa"/>
            <w:gridSpan w:val="7"/>
            <w:tcBorders>
              <w:top w:val="single" w:color="auto" w:sz="6" w:space="0"/>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申请人情况</w:t>
            </w:r>
          </w:p>
        </w:tc>
      </w:tr>
      <w:tr>
        <w:tblPrEx>
          <w:tblCellMar>
            <w:top w:w="0" w:type="dxa"/>
            <w:left w:w="0" w:type="dxa"/>
            <w:bottom w:w="0" w:type="dxa"/>
            <w:right w:w="0" w:type="dxa"/>
          </w:tblCellMar>
        </w:tblPrEx>
        <w:trPr>
          <w:jc w:val="center"/>
        </w:trPr>
        <w:tc>
          <w:tcPr>
            <w:tcW w:w="5145" w:type="dxa"/>
            <w:gridSpan w:val="3"/>
            <w:vMerge w:val="continue"/>
            <w:tcBorders>
              <w:top w:val="single" w:color="auto" w:sz="6" w:space="0"/>
              <w:left w:val="single" w:color="auto" w:sz="6" w:space="0"/>
              <w:bottom w:val="outset" w:color="000000"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720" w:type="dxa"/>
            <w:vMerge w:val="restart"/>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自然人</w:t>
            </w:r>
          </w:p>
        </w:tc>
        <w:tc>
          <w:tcPr>
            <w:tcW w:w="3570"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法人或其他组织</w:t>
            </w:r>
          </w:p>
        </w:tc>
        <w:tc>
          <w:tcPr>
            <w:tcW w:w="720" w:type="dxa"/>
            <w:vMerge w:val="restart"/>
            <w:tcBorders>
              <w:top w:val="nil"/>
              <w:left w:val="nil"/>
              <w:bottom w:val="outset" w:color="000000"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总计</w:t>
            </w:r>
          </w:p>
        </w:tc>
      </w:tr>
      <w:tr>
        <w:tblPrEx>
          <w:tblCellMar>
            <w:top w:w="0" w:type="dxa"/>
            <w:left w:w="0" w:type="dxa"/>
            <w:bottom w:w="0" w:type="dxa"/>
            <w:right w:w="0" w:type="dxa"/>
          </w:tblCellMar>
        </w:tblPrEx>
        <w:trPr>
          <w:jc w:val="center"/>
        </w:trPr>
        <w:tc>
          <w:tcPr>
            <w:tcW w:w="5145" w:type="dxa"/>
            <w:gridSpan w:val="3"/>
            <w:vMerge w:val="continue"/>
            <w:tcBorders>
              <w:top w:val="single" w:color="auto" w:sz="6" w:space="0"/>
              <w:left w:val="single" w:color="auto" w:sz="6" w:space="0"/>
              <w:bottom w:val="outset" w:color="000000"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720" w:type="dxa"/>
            <w:vMerge w:val="continue"/>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商业</w:t>
            </w:r>
          </w:p>
          <w:p>
            <w:pPr>
              <w:adjustRightInd w:val="0"/>
              <w:snapToGrid w:val="0"/>
              <w:spacing w:line="240" w:lineRule="atLeast"/>
            </w:pPr>
            <w:r>
              <w:rPr>
                <w:rFonts w:hint="eastAsia"/>
              </w:rPr>
              <w:t>企业</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科研</w:t>
            </w:r>
          </w:p>
          <w:p>
            <w:pPr>
              <w:adjustRightInd w:val="0"/>
              <w:snapToGrid w:val="0"/>
              <w:spacing w:line="240" w:lineRule="atLeast"/>
            </w:pPr>
            <w:r>
              <w:rPr>
                <w:rFonts w:hint="eastAsia"/>
              </w:rPr>
              <w:t>机构</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社会公益组织</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法律服务机构</w:t>
            </w:r>
          </w:p>
        </w:tc>
        <w:tc>
          <w:tcPr>
            <w:tcW w:w="720"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其他</w:t>
            </w:r>
          </w:p>
        </w:tc>
        <w:tc>
          <w:tcPr>
            <w:tcW w:w="720" w:type="dxa"/>
            <w:vMerge w:val="continue"/>
            <w:tcBorders>
              <w:top w:val="nil"/>
              <w:left w:val="nil"/>
              <w:bottom w:val="outset" w:color="000000"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r>
      <w:tr>
        <w:trPr>
          <w:jc w:val="center"/>
        </w:trPr>
        <w:tc>
          <w:tcPr>
            <w:tcW w:w="514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一、本年新收政府信息公开申请数量</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514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二、上年结转政府信息公开申请数量</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restart"/>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三、本年度办理结果</w:t>
            </w:r>
          </w:p>
        </w:tc>
        <w:tc>
          <w:tcPr>
            <w:tcW w:w="436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（一）予以公开</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436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（二）部分公开（区分处理的，只计这一情形，不计其他情形）</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restart"/>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（三）不予公开</w:t>
            </w: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1.属于国家秘密</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2.其他法律行政法规禁止公开</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3.危及“三安全一稳定”</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4.保护第三方合法权益</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5.属于三类内部事务信息</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6.属于四类过程性信息</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7.属于行政执法案卷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8.属于行政查询事项</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restart"/>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（四）无法提供</w:t>
            </w: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1.本机关不掌握相关政府信息</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2.没有现成信息需要另行制作</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3.补正后申请内容仍不明确</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restart"/>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（五）不予处理</w:t>
            </w: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1.信访举报投诉类申请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2.重复申请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3.要求提供公开出版物</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4.无正当理由大量反复申请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trHeight w:val="780" w:hRule="atLeast"/>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5.要求行政机关确认或重新出具已获取信息</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restart"/>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（六）其他处理</w:t>
            </w:r>
          </w:p>
        </w:tc>
        <w:tc>
          <w:tcPr>
            <w:tcW w:w="3405"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1.申请人无正当理由逾期不补正、行政机关不再处理其政府信息公开申请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2.申请人逾期未按收费通知要求缴纳费用、行政机关不再处理其政府信息公开申请</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960" w:type="dxa"/>
            <w:vMerge w:val="continue"/>
            <w:tcBorders>
              <w:top w:val="nil"/>
              <w:left w:val="nil"/>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3405"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3.其他</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color="auto" w:fill="auto"/>
            <w:tcMar>
              <w:left w:w="60" w:type="dxa"/>
              <w:right w:w="60" w:type="dxa"/>
            </w:tcMar>
            <w:vAlign w:val="center"/>
          </w:tcPr>
          <w:p>
            <w:pPr>
              <w:adjustRightInd w:val="0"/>
              <w:snapToGrid w:val="0"/>
              <w:spacing w:line="240" w:lineRule="atLeast"/>
            </w:pPr>
          </w:p>
        </w:tc>
        <w:tc>
          <w:tcPr>
            <w:tcW w:w="4365" w:type="dxa"/>
            <w:gridSpan w:val="2"/>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（七）总计</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r>
      <w:tr>
        <w:tblPrEx>
          <w:tblCellMar>
            <w:top w:w="0" w:type="dxa"/>
            <w:left w:w="0" w:type="dxa"/>
            <w:bottom w:w="0" w:type="dxa"/>
            <w:right w:w="0" w:type="dxa"/>
          </w:tblCellMar>
        </w:tblPrEx>
        <w:trPr>
          <w:jc w:val="center"/>
        </w:trPr>
        <w:tc>
          <w:tcPr>
            <w:tcW w:w="5145" w:type="dxa"/>
            <w:gridSpan w:val="3"/>
            <w:tcBorders>
              <w:top w:val="nil"/>
              <w:left w:val="single" w:color="auto" w:sz="6" w:space="0"/>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四、结转下年度继续办理</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vAlign w:val="center"/>
          </w:tcPr>
          <w:p>
            <w:pPr>
              <w:adjustRightInd w:val="0"/>
              <w:snapToGrid w:val="0"/>
              <w:spacing w:line="240" w:lineRule="atLeast"/>
            </w:pPr>
            <w:r>
              <w:rPr>
                <w:rFonts w:hint="eastAsia"/>
              </w:rPr>
              <w:t>0</w:t>
            </w:r>
          </w:p>
        </w:tc>
        <w:tc>
          <w:tcPr>
            <w:tcW w:w="720" w:type="dxa"/>
            <w:tcBorders>
              <w:top w:val="nil"/>
              <w:left w:val="nil"/>
              <w:bottom w:val="single" w:color="auto" w:sz="6" w:space="0"/>
              <w:right w:val="single" w:color="auto" w:sz="6" w:space="0"/>
            </w:tcBorders>
            <w:shd w:val="clear" w:color="auto" w:fill="auto"/>
            <w:tcMar>
              <w:left w:w="60" w:type="dxa"/>
              <w:right w:w="60" w:type="dxa"/>
            </w:tcMar>
          </w:tcPr>
          <w:p>
            <w:pPr>
              <w:adjustRightInd w:val="0"/>
              <w:snapToGrid w:val="0"/>
              <w:spacing w:line="240" w:lineRule="atLeast"/>
            </w:pPr>
            <w:r>
              <w:rPr>
                <w:rFonts w:hint="eastAsia"/>
              </w:rPr>
              <w:t>0</w:t>
            </w:r>
          </w:p>
        </w:tc>
      </w:tr>
    </w:tbl>
    <w:p>
      <w:r>
        <w:rPr>
          <w:rFonts w:hint="eastAsia"/>
        </w:rPr>
        <w:t> </w:t>
      </w:r>
    </w:p>
    <w:p>
      <w:pPr>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0" w:type="auto"/>
        <w:jc w:val="center"/>
        <w:tblLayout w:type="autofit"/>
        <w:tblCellMar>
          <w:top w:w="0" w:type="dxa"/>
          <w:left w:w="0" w:type="dxa"/>
          <w:bottom w:w="0" w:type="dxa"/>
          <w:right w:w="0" w:type="dxa"/>
        </w:tblCellMar>
      </w:tblPr>
      <w:tblGrid>
        <w:gridCol w:w="561"/>
        <w:gridCol w:w="570"/>
        <w:gridCol w:w="570"/>
        <w:gridCol w:w="570"/>
        <w:gridCol w:w="561"/>
        <w:gridCol w:w="570"/>
        <w:gridCol w:w="570"/>
        <w:gridCol w:w="570"/>
        <w:gridCol w:w="570"/>
        <w:gridCol w:w="561"/>
        <w:gridCol w:w="570"/>
        <w:gridCol w:w="570"/>
        <w:gridCol w:w="570"/>
        <w:gridCol w:w="571"/>
        <w:gridCol w:w="562"/>
      </w:tblGrid>
      <w:tr>
        <w:tblPrEx>
          <w:tblCellMar>
            <w:top w:w="0" w:type="dxa"/>
            <w:left w:w="0" w:type="dxa"/>
            <w:bottom w:w="0" w:type="dxa"/>
            <w:right w:w="0" w:type="dxa"/>
          </w:tblCellMar>
        </w:tblPrEx>
        <w:trPr>
          <w:jc w:val="center"/>
        </w:trPr>
        <w:tc>
          <w:tcPr>
            <w:tcW w:w="3210" w:type="dxa"/>
            <w:gridSpan w:val="5"/>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行政复议</w:t>
            </w:r>
          </w:p>
        </w:tc>
        <w:tc>
          <w:tcPr>
            <w:tcW w:w="6435"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行政诉讼</w:t>
            </w:r>
          </w:p>
        </w:tc>
      </w:tr>
      <w:tr>
        <w:tblPrEx>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结果维持</w:t>
            </w:r>
          </w:p>
        </w:tc>
        <w:tc>
          <w:tcPr>
            <w:tcW w:w="6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w:t>
            </w:r>
            <w:r>
              <w:rPr>
                <w:rFonts w:hint="eastAsia"/>
              </w:rPr>
              <w:br w:type="textWrapping"/>
            </w:r>
            <w:r>
              <w:rPr>
                <w:rFonts w:hint="eastAsia"/>
              </w:rPr>
              <w:t>   纠正</w:t>
            </w:r>
          </w:p>
        </w:tc>
        <w:tc>
          <w:tcPr>
            <w:tcW w:w="6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其他</w:t>
            </w:r>
            <w:r>
              <w:rPr>
                <w:rFonts w:hint="eastAsia"/>
              </w:rPr>
              <w:br w:type="textWrapping"/>
            </w:r>
            <w:r>
              <w:rPr>
                <w:rFonts w:hint="eastAsia"/>
              </w:rPr>
              <w:t>   结果</w:t>
            </w:r>
          </w:p>
        </w:tc>
        <w:tc>
          <w:tcPr>
            <w:tcW w:w="6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尚未</w:t>
            </w:r>
            <w:r>
              <w:rPr>
                <w:rFonts w:hint="eastAsia"/>
              </w:rPr>
              <w:br w:type="textWrapping"/>
            </w:r>
            <w:r>
              <w:rPr>
                <w:rFonts w:hint="eastAsia"/>
              </w:rPr>
              <w:t>   审结</w:t>
            </w:r>
          </w:p>
        </w:tc>
        <w:tc>
          <w:tcPr>
            <w:tcW w:w="645"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总计</w:t>
            </w:r>
          </w:p>
        </w:tc>
        <w:tc>
          <w:tcPr>
            <w:tcW w:w="3210"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未经复议直接起诉</w:t>
            </w:r>
          </w:p>
        </w:tc>
        <w:tc>
          <w:tcPr>
            <w:tcW w:w="3210"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复议后起诉</w:t>
            </w:r>
          </w:p>
        </w:tc>
      </w:tr>
      <w:tr>
        <w:tblPrEx>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6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6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6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645"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w:t>
            </w:r>
            <w:r>
              <w:rPr>
                <w:rFonts w:hint="eastAsia"/>
              </w:rPr>
              <w:br w:type="textWrapping"/>
            </w:r>
            <w:r>
              <w:rPr>
                <w:rFonts w:hint="eastAsia"/>
              </w:rPr>
              <w:t>   维持</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w:t>
            </w:r>
            <w:r>
              <w:rPr>
                <w:rFonts w:hint="eastAsia"/>
              </w:rPr>
              <w:br w:type="textWrapping"/>
            </w:r>
            <w:r>
              <w:rPr>
                <w:rFonts w:hint="eastAsia"/>
              </w:rPr>
              <w:t>   纠正</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其他</w:t>
            </w:r>
            <w:r>
              <w:rPr>
                <w:rFonts w:hint="eastAsia"/>
              </w:rPr>
              <w:br w:type="textWrapping"/>
            </w:r>
            <w:r>
              <w:rPr>
                <w:rFonts w:hint="eastAsia"/>
              </w:rPr>
              <w:t>   结果</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尚未</w:t>
            </w:r>
            <w:r>
              <w:rPr>
                <w:rFonts w:hint="eastAsia"/>
              </w:rPr>
              <w:br w:type="textWrapping"/>
            </w:r>
            <w:r>
              <w:rPr>
                <w:rFonts w:hint="eastAsia"/>
              </w:rPr>
              <w:t>   审结</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总计</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w:t>
            </w:r>
            <w:r>
              <w:rPr>
                <w:rFonts w:hint="eastAsia"/>
              </w:rPr>
              <w:br w:type="textWrapping"/>
            </w:r>
            <w:r>
              <w:rPr>
                <w:rFonts w:hint="eastAsia"/>
              </w:rPr>
              <w:t>   维持</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结果</w:t>
            </w:r>
            <w:r>
              <w:rPr>
                <w:rFonts w:hint="eastAsia"/>
              </w:rPr>
              <w:br w:type="textWrapping"/>
            </w:r>
            <w:r>
              <w:rPr>
                <w:rFonts w:hint="eastAsia"/>
              </w:rPr>
              <w:t>   纠正</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其他</w:t>
            </w:r>
            <w:r>
              <w:rPr>
                <w:rFonts w:hint="eastAsia"/>
              </w:rPr>
              <w:br w:type="textWrapping"/>
            </w:r>
            <w:r>
              <w:rPr>
                <w:rFonts w:hint="eastAsia"/>
              </w:rPr>
              <w:t>   结果</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尚未</w:t>
            </w:r>
            <w:r>
              <w:rPr>
                <w:rFonts w:hint="eastAsia"/>
              </w:rPr>
              <w:br w:type="textWrapping"/>
            </w:r>
            <w:r>
              <w:rPr>
                <w:rFonts w:hint="eastAsia"/>
              </w:rPr>
              <w:t>   审结</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总计</w:t>
            </w:r>
          </w:p>
        </w:tc>
      </w:tr>
      <w:tr>
        <w:tblPrEx>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c>
          <w:tcPr>
            <w:tcW w:w="645" w:type="dxa"/>
            <w:tcBorders>
              <w:top w:val="nil"/>
              <w:left w:val="nil"/>
              <w:bottom w:val="single" w:color="auto" w:sz="6" w:space="0"/>
              <w:right w:val="single" w:color="auto" w:sz="6" w:space="0"/>
            </w:tcBorders>
            <w:shd w:val="clear" w:color="auto" w:fill="auto"/>
            <w:tcMar>
              <w:left w:w="105" w:type="dxa"/>
              <w:right w:w="105" w:type="dxa"/>
            </w:tcMar>
            <w:vAlign w:val="center"/>
          </w:tcPr>
          <w:p>
            <w:pPr>
              <w:adjustRightInd w:val="0"/>
              <w:snapToGrid w:val="0"/>
              <w:spacing w:line="240" w:lineRule="atLeast"/>
            </w:pPr>
            <w:r>
              <w:rPr>
                <w:rFonts w:hint="eastAsia"/>
              </w:rPr>
              <w:t>0</w:t>
            </w:r>
          </w:p>
        </w:tc>
      </w:tr>
    </w:tbl>
    <w:p>
      <w:pPr>
        <w:ind w:firstLine="640" w:firstLineChars="200"/>
      </w:pPr>
      <w:r>
        <w:rPr>
          <w:rFonts w:hint="eastAsia" w:ascii="黑体" w:hAnsi="黑体" w:eastAsia="黑体" w:cs="黑体"/>
          <w:sz w:val="32"/>
          <w:szCs w:val="32"/>
        </w:rPr>
        <w:t>五、存在的主要问题及改进情况</w:t>
      </w:r>
    </w:p>
    <w:p>
      <w:pPr>
        <w:ind w:firstLine="420" w:firstLineChars="200"/>
        <w:rPr>
          <w:rFonts w:hint="eastAsia" w:ascii="方正仿宋_GB2312" w:hAnsi="方正仿宋_GB2312" w:eastAsia="方正仿宋_GB2312" w:cs="方正仿宋_GB2312"/>
          <w:sz w:val="30"/>
          <w:szCs w:val="30"/>
        </w:rPr>
      </w:pPr>
      <w:r>
        <w:rPr>
          <w:rFonts w:hint="eastAsia"/>
        </w:rPr>
        <w:t>  </w:t>
      </w:r>
      <w:r>
        <w:rPr>
          <w:rFonts w:hint="eastAsia" w:ascii="方正仿宋_GB2312" w:hAnsi="方正仿宋_GB2312" w:eastAsia="方正仿宋_GB2312" w:cs="方正仿宋_GB2312"/>
          <w:sz w:val="30"/>
          <w:szCs w:val="30"/>
        </w:rPr>
        <w:t>202</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年，我局政府信息公开工作有序推进，人民群众的知情权、参与权、监督权得到充分体现</w:t>
      </w:r>
      <w:r>
        <w:rPr>
          <w:rFonts w:hint="eastAsia" w:ascii="方正仿宋_GB2312" w:hAnsi="方正仿宋_GB2312" w:eastAsia="方正仿宋_GB2312" w:cs="方正仿宋_GB2312"/>
          <w:sz w:val="30"/>
          <w:szCs w:val="30"/>
          <w:lang w:eastAsia="zh-CN"/>
        </w:rPr>
        <w:t>。存在的主要问题：</w:t>
      </w:r>
      <w:r>
        <w:rPr>
          <w:rFonts w:hint="eastAsia" w:ascii="方正仿宋_GB2312" w:hAnsi="方正仿宋_GB2312" w:eastAsia="方正仿宋_GB2312" w:cs="方正仿宋_GB2312"/>
          <w:b/>
          <w:bCs/>
          <w:sz w:val="30"/>
          <w:szCs w:val="30"/>
          <w:lang w:eastAsia="zh-CN"/>
        </w:rPr>
        <w:t>一是</w:t>
      </w:r>
      <w:r>
        <w:rPr>
          <w:rFonts w:hint="eastAsia" w:ascii="方正仿宋_GB2312" w:hAnsi="方正仿宋_GB2312" w:eastAsia="方正仿宋_GB2312" w:cs="方正仿宋_GB2312"/>
          <w:sz w:val="30"/>
          <w:szCs w:val="30"/>
        </w:rPr>
        <w:t>信息公开</w:t>
      </w:r>
      <w:r>
        <w:rPr>
          <w:rFonts w:hint="eastAsia" w:ascii="方正仿宋_GB2312" w:hAnsi="方正仿宋_GB2312" w:eastAsia="方正仿宋_GB2312" w:cs="方正仿宋_GB2312"/>
          <w:sz w:val="30"/>
          <w:szCs w:val="30"/>
          <w:lang w:eastAsia="zh-CN"/>
        </w:rPr>
        <w:t>渠道较少，目前只有政府网站和贵州省气象门户网站；</w:t>
      </w:r>
      <w:r>
        <w:rPr>
          <w:rFonts w:hint="eastAsia" w:ascii="方正仿宋_GB2312" w:hAnsi="方正仿宋_GB2312" w:eastAsia="方正仿宋_GB2312" w:cs="方正仿宋_GB2312"/>
          <w:b/>
          <w:bCs/>
          <w:sz w:val="30"/>
          <w:szCs w:val="30"/>
          <w:lang w:eastAsia="zh-CN"/>
        </w:rPr>
        <w:t>二是</w:t>
      </w:r>
      <w:r>
        <w:rPr>
          <w:rFonts w:hint="eastAsia" w:ascii="方正仿宋_GB2312" w:hAnsi="方正仿宋_GB2312" w:eastAsia="方正仿宋_GB2312" w:cs="方正仿宋_GB2312"/>
          <w:b w:val="0"/>
          <w:bCs w:val="0"/>
          <w:sz w:val="30"/>
          <w:szCs w:val="30"/>
          <w:lang w:eastAsia="zh-CN"/>
        </w:rPr>
        <w:t>部分信息公开不够及时，</w:t>
      </w:r>
      <w:r>
        <w:rPr>
          <w:rFonts w:hint="eastAsia" w:ascii="方正仿宋_GB2312" w:hAnsi="方正仿宋_GB2312" w:eastAsia="方正仿宋_GB2312" w:cs="方正仿宋_GB2312"/>
          <w:sz w:val="30"/>
          <w:szCs w:val="30"/>
        </w:rPr>
        <w:t>时效性有待提高</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b/>
          <w:bCs/>
          <w:sz w:val="30"/>
          <w:szCs w:val="30"/>
          <w:lang w:eastAsia="zh-CN"/>
        </w:rPr>
        <w:t>三是</w:t>
      </w:r>
      <w:r>
        <w:rPr>
          <w:rFonts w:hint="eastAsia" w:ascii="方正仿宋_GB2312" w:hAnsi="方正仿宋_GB2312" w:eastAsia="方正仿宋_GB2312" w:cs="方正仿宋_GB2312"/>
          <w:sz w:val="30"/>
          <w:szCs w:val="30"/>
          <w:lang w:eastAsia="zh-CN"/>
        </w:rPr>
        <w:t>公开内容不够丰富</w:t>
      </w:r>
      <w:r>
        <w:rPr>
          <w:rFonts w:hint="eastAsia" w:ascii="方正仿宋_GB2312" w:hAnsi="方正仿宋_GB2312" w:eastAsia="方正仿宋_GB2312" w:cs="方正仿宋_GB2312"/>
          <w:sz w:val="30"/>
          <w:szCs w:val="30"/>
        </w:rPr>
        <w:t>。</w:t>
      </w:r>
    </w:p>
    <w:p>
      <w:pPr>
        <w:ind w:firstLine="600" w:firstLineChars="2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下一步</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我局将坚持以习近平新时代中国特色社会主义思想为指导，紧紧围绕</w:t>
      </w:r>
      <w:r>
        <w:rPr>
          <w:rFonts w:hint="eastAsia" w:ascii="方正仿宋_GB2312" w:hAnsi="方正仿宋_GB2312" w:eastAsia="方正仿宋_GB2312" w:cs="方正仿宋_GB2312"/>
          <w:sz w:val="30"/>
          <w:szCs w:val="30"/>
          <w:lang w:eastAsia="zh-CN"/>
        </w:rPr>
        <w:t>围绕州委、州政府中心工作和贵州省气象局重点工作，全面贯彻落实州委、州政府</w:t>
      </w:r>
      <w:r>
        <w:rPr>
          <w:rFonts w:hint="eastAsia" w:ascii="方正仿宋_GB2312" w:hAnsi="方正仿宋_GB2312" w:eastAsia="方正仿宋_GB2312" w:cs="方正仿宋_GB2312"/>
          <w:sz w:val="30"/>
          <w:szCs w:val="30"/>
        </w:rPr>
        <w:t>和贵州省气象局</w:t>
      </w:r>
      <w:r>
        <w:rPr>
          <w:rFonts w:hint="eastAsia" w:ascii="方正仿宋_GB2312" w:hAnsi="方正仿宋_GB2312" w:eastAsia="方正仿宋_GB2312" w:cs="方正仿宋_GB2312"/>
          <w:sz w:val="30"/>
          <w:szCs w:val="30"/>
          <w:lang w:eastAsia="zh-CN"/>
        </w:rPr>
        <w:t>各项</w:t>
      </w:r>
      <w:r>
        <w:rPr>
          <w:rFonts w:hint="eastAsia" w:ascii="方正仿宋_GB2312" w:hAnsi="方正仿宋_GB2312" w:eastAsia="方正仿宋_GB2312" w:cs="方正仿宋_GB2312"/>
          <w:sz w:val="30"/>
          <w:szCs w:val="30"/>
        </w:rPr>
        <w:t>决策部署，加强政策解读</w:t>
      </w:r>
      <w:r>
        <w:rPr>
          <w:rFonts w:hint="eastAsia" w:ascii="方正仿宋_GB2312" w:hAnsi="方正仿宋_GB2312" w:eastAsia="方正仿宋_GB2312" w:cs="方正仿宋_GB2312"/>
          <w:sz w:val="30"/>
          <w:szCs w:val="30"/>
          <w:lang w:eastAsia="zh-CN"/>
        </w:rPr>
        <w:t>，</w:t>
      </w:r>
      <w:r>
        <w:rPr>
          <w:rFonts w:hint="eastAsia" w:ascii="方正仿宋_GB2312" w:hAnsi="方正仿宋_GB2312" w:eastAsia="方正仿宋_GB2312" w:cs="方正仿宋_GB2312"/>
          <w:sz w:val="30"/>
          <w:szCs w:val="30"/>
        </w:rPr>
        <w:t>不断丰富公开内容，增强公开</w:t>
      </w:r>
      <w:r>
        <w:rPr>
          <w:rFonts w:hint="eastAsia" w:ascii="方正仿宋_GB2312" w:hAnsi="方正仿宋_GB2312" w:eastAsia="方正仿宋_GB2312" w:cs="方正仿宋_GB2312"/>
          <w:sz w:val="30"/>
          <w:szCs w:val="30"/>
          <w:lang w:eastAsia="zh-CN"/>
        </w:rPr>
        <w:t>时效性和实效性</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扎实抓好</w:t>
      </w:r>
      <w:r>
        <w:rPr>
          <w:rFonts w:hint="eastAsia" w:ascii="方正仿宋_GB2312" w:hAnsi="方正仿宋_GB2312" w:eastAsia="方正仿宋_GB2312" w:cs="方正仿宋_GB2312"/>
          <w:sz w:val="30"/>
          <w:szCs w:val="30"/>
        </w:rPr>
        <w:t>政府信息公开工作。</w:t>
      </w:r>
    </w:p>
    <w:p>
      <w:pPr>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ind w:firstLine="600" w:firstLineChars="200"/>
        <w:rPr>
          <w:rFonts w:hint="eastAsia" w:ascii="方正仿宋_GB2312" w:hAnsi="方正仿宋_GB2312" w:eastAsia="方正仿宋_GB2312" w:cs="方正仿宋_GB2312"/>
          <w:sz w:val="30"/>
          <w:szCs w:val="30"/>
          <w:lang w:eastAsia="zh-CN"/>
        </w:rPr>
      </w:pPr>
      <w:r>
        <w:rPr>
          <w:rFonts w:hint="eastAsia" w:ascii="方正仿宋_GB2312" w:hAnsi="方正仿宋_GB2312" w:eastAsia="方正仿宋_GB2312" w:cs="方正仿宋_GB2312"/>
          <w:sz w:val="30"/>
          <w:szCs w:val="30"/>
        </w:rPr>
        <w:t>无</w:t>
      </w:r>
      <w:r>
        <w:rPr>
          <w:rFonts w:hint="eastAsia" w:ascii="方正仿宋_GB2312" w:hAnsi="方正仿宋_GB2312" w:eastAsia="方正仿宋_GB2312" w:cs="方正仿宋_GB2312"/>
          <w:sz w:val="30"/>
          <w:szCs w:val="30"/>
          <w:lang w:eastAsia="zh-CN"/>
        </w:rPr>
        <w:t>。</w:t>
      </w:r>
    </w:p>
    <w:p>
      <w:pPr>
        <w:ind w:firstLine="600" w:firstLineChars="200"/>
        <w:rPr>
          <w:rFonts w:hint="eastAsia" w:ascii="方正仿宋_GB2312" w:hAnsi="方正仿宋_GB2312" w:eastAsia="方正仿宋_GB2312" w:cs="方正仿宋_GB2312"/>
          <w:sz w:val="30"/>
          <w:szCs w:val="30"/>
          <w:lang w:eastAsia="zh-CN"/>
        </w:rPr>
      </w:pPr>
    </w:p>
    <w:p>
      <w:r>
        <w:rPr>
          <w:rFonts w:hint="eastAsia"/>
        </w:rPr>
        <w:t> </w:t>
      </w:r>
    </w:p>
    <w:p>
      <w:pPr>
        <w:ind w:firstLine="600" w:firstLineChars="200"/>
        <w:rPr>
          <w:rFonts w:ascii="方正仿宋_GB2312" w:hAnsi="方正仿宋_GB2312" w:eastAsia="方正仿宋_GB2312" w:cs="方正仿宋_GB2312"/>
          <w:sz w:val="30"/>
          <w:szCs w:val="30"/>
        </w:rPr>
      </w:pPr>
    </w:p>
    <w:p>
      <w:pPr>
        <w:ind w:firstLine="5400" w:firstLineChars="18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黔西南州气象局  </w:t>
      </w:r>
    </w:p>
    <w:p>
      <w:pPr>
        <w:ind w:firstLine="5400" w:firstLineChars="1800"/>
        <w:rPr>
          <w:rFonts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w:t>
      </w:r>
      <w:r>
        <w:rPr>
          <w:rFonts w:hint="eastAsia" w:ascii="方正仿宋_GB2312" w:hAnsi="方正仿宋_GB2312" w:eastAsia="方正仿宋_GB2312" w:cs="方正仿宋_GB2312"/>
          <w:sz w:val="30"/>
          <w:szCs w:val="30"/>
          <w:lang w:val="en-US" w:eastAsia="zh-CN"/>
        </w:rPr>
        <w:t>3</w:t>
      </w:r>
      <w:r>
        <w:rPr>
          <w:rFonts w:hint="eastAsia" w:ascii="方正仿宋_GB2312" w:hAnsi="方正仿宋_GB2312" w:eastAsia="方正仿宋_GB2312" w:cs="方正仿宋_GB2312"/>
          <w:sz w:val="30"/>
          <w:szCs w:val="30"/>
        </w:rPr>
        <w:t>年</w:t>
      </w:r>
      <w:r>
        <w:rPr>
          <w:rFonts w:hint="eastAsia" w:ascii="方正仿宋_GB2312" w:hAnsi="方正仿宋_GB2312" w:eastAsia="方正仿宋_GB2312" w:cs="方正仿宋_GB2312"/>
          <w:sz w:val="30"/>
          <w:szCs w:val="30"/>
          <w:lang w:val="en-US" w:eastAsia="zh-CN"/>
        </w:rPr>
        <w:t>1</w:t>
      </w:r>
      <w:r>
        <w:rPr>
          <w:rFonts w:hint="eastAsia" w:ascii="方正仿宋_GB2312" w:hAnsi="方正仿宋_GB2312" w:eastAsia="方正仿宋_GB2312" w:cs="方正仿宋_GB2312"/>
          <w:sz w:val="30"/>
          <w:szCs w:val="30"/>
        </w:rPr>
        <w:t>月1</w:t>
      </w:r>
      <w:r>
        <w:rPr>
          <w:rFonts w:hint="eastAsia" w:ascii="方正仿宋_GB2312" w:hAnsi="方正仿宋_GB2312" w:eastAsia="方正仿宋_GB2312" w:cs="方正仿宋_GB2312"/>
          <w:sz w:val="30"/>
          <w:szCs w:val="30"/>
          <w:lang w:val="en-US" w:eastAsia="zh-CN"/>
        </w:rPr>
        <w:t>3</w:t>
      </w:r>
      <w:bookmarkStart w:id="0" w:name="_GoBack"/>
      <w:bookmarkEnd w:id="0"/>
      <w:r>
        <w:rPr>
          <w:rFonts w:hint="eastAsia" w:ascii="方正仿宋_GB2312" w:hAnsi="方正仿宋_GB2312" w:eastAsia="方正仿宋_GB2312" w:cs="方正仿宋_GB2312"/>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059">
    <w:panose1 w:val="00000500000000000000"/>
    <w:charset w:val="00"/>
    <w:family w:val="auto"/>
    <w:pitch w:val="default"/>
    <w:sig w:usb0="00000287" w:usb1="00000800" w:usb2="00000000" w:usb3="00000000" w:csb0="6000009F" w:csb1="00000000"/>
  </w:font>
  <w:font w:name="3 of 9 Barcode">
    <w:panose1 w:val="04027200000000000000"/>
    <w:charset w:val="86"/>
    <w:family w:val="auto"/>
    <w:pitch w:val="default"/>
    <w:sig w:usb0="00000000" w:usb1="00000000" w:usb2="00000000" w:usb3="00000000" w:csb0="00040000" w:csb1="00000000"/>
  </w:font>
  <w:font w:name="DejaVu Sans">
    <w:panose1 w:val="020B0606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2669FA"/>
    <w:rsid w:val="00094E00"/>
    <w:rsid w:val="002669FA"/>
    <w:rsid w:val="00F07173"/>
    <w:rsid w:val="23DFC754"/>
    <w:rsid w:val="3D0726BA"/>
    <w:rsid w:val="41893F22"/>
    <w:rsid w:val="45CD56F1"/>
    <w:rsid w:val="F58DAB9B"/>
    <w:rsid w:val="F7FBF820"/>
    <w:rsid w:val="FD778A23"/>
    <w:rsid w:val="FEFDC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5</Pages>
  <Words>384</Words>
  <Characters>2195</Characters>
  <Lines>18</Lines>
  <Paragraphs>5</Paragraphs>
  <TotalTime>1</TotalTime>
  <ScaleCrop>false</ScaleCrop>
  <LinksUpToDate>false</LinksUpToDate>
  <CharactersWithSpaces>2574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Administrator.56MZWRGI0IB1M4K.003</dc:creator>
  <cp:lastModifiedBy>qixiangju</cp:lastModifiedBy>
  <dcterms:modified xsi:type="dcterms:W3CDTF">2023-01-13T11:34:30Z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CE207D17A3E94EE79A1A75A0C4EDAC36</vt:lpwstr>
  </property>
</Properties>
</file>