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0" w:lineRule="atLeast"/>
        <w:rPr>
          <w:rFonts w:ascii="仿宋_GB2312" w:hAnsi="宋体" w:eastAsia="仿宋_GB2312" w:cs="宋体"/>
          <w:bCs/>
          <w:kern w:val="0"/>
          <w:sz w:val="32"/>
          <w:szCs w:val="32"/>
        </w:rPr>
      </w:pPr>
    </w:p>
    <w:p>
      <w:pPr>
        <w:widowControl/>
        <w:shd w:val="clear" w:color="auto" w:fill="FFFFFF"/>
        <w:spacing w:line="0" w:lineRule="atLeast"/>
        <w:jc w:val="center"/>
        <w:rPr>
          <w:rFonts w:hint="eastAsia" w:ascii="方正小标宋简体" w:hAnsi="宋体" w:eastAsia="方正小标宋简体" w:cs="宋体"/>
          <w:bCs/>
          <w:kern w:val="0"/>
          <w:sz w:val="36"/>
          <w:szCs w:val="36"/>
          <w:lang w:eastAsia="zh-CN"/>
        </w:rPr>
      </w:pPr>
      <w:r>
        <w:rPr>
          <w:rFonts w:hint="eastAsia" w:ascii="方正小标宋简体" w:hAnsi="宋体" w:eastAsia="方正小标宋简体" w:cs="宋体"/>
          <w:bCs/>
          <w:kern w:val="0"/>
          <w:sz w:val="36"/>
          <w:szCs w:val="36"/>
        </w:rPr>
        <w:t>贵州省气象</w:t>
      </w:r>
      <w:r>
        <w:rPr>
          <w:rFonts w:hint="eastAsia" w:ascii="方正小标宋简体" w:hAnsi="宋体" w:eastAsia="方正小标宋简体" w:cs="宋体"/>
          <w:bCs/>
          <w:kern w:val="0"/>
          <w:sz w:val="36"/>
          <w:szCs w:val="36"/>
          <w:lang w:eastAsia="zh-CN"/>
        </w:rPr>
        <w:t>部门</w:t>
      </w:r>
    </w:p>
    <w:p>
      <w:pPr>
        <w:widowControl/>
        <w:shd w:val="clear" w:color="auto" w:fill="FFFFFF"/>
        <w:spacing w:line="0" w:lineRule="atLeast"/>
        <w:jc w:val="center"/>
        <w:rPr>
          <w:rFonts w:ascii="方正小标宋简体" w:hAnsi="宋体" w:eastAsia="方正小标宋简体" w:cs="宋体"/>
          <w:bCs/>
          <w:kern w:val="0"/>
          <w:sz w:val="36"/>
          <w:szCs w:val="36"/>
        </w:rPr>
      </w:pPr>
      <w:r>
        <w:rPr>
          <w:rFonts w:hint="eastAsia" w:ascii="方正小标宋简体" w:hAnsi="宋体" w:eastAsia="方正小标宋简体" w:cs="宋体"/>
          <w:bCs/>
          <w:kern w:val="0"/>
          <w:sz w:val="36"/>
          <w:szCs w:val="36"/>
          <w:lang w:val="en-US" w:eastAsia="zh-CN"/>
        </w:rPr>
        <w:t>2022年度</w:t>
      </w:r>
      <w:r>
        <w:rPr>
          <w:rFonts w:hint="eastAsia" w:ascii="方正小标宋简体" w:hAnsi="宋体" w:eastAsia="方正小标宋简体" w:cs="宋体"/>
          <w:bCs/>
          <w:kern w:val="0"/>
          <w:sz w:val="36"/>
          <w:szCs w:val="36"/>
        </w:rPr>
        <w:t>政府信息公开工作年度报告</w:t>
      </w:r>
    </w:p>
    <w:p>
      <w:pPr>
        <w:widowControl/>
        <w:shd w:val="clear" w:color="auto" w:fill="FFFFFF"/>
        <w:spacing w:line="0" w:lineRule="atLeast"/>
        <w:jc w:val="center"/>
        <w:rPr>
          <w:rFonts w:ascii="方正小标宋简体" w:hAnsi="宋体" w:eastAsia="方正小标宋简体" w:cs="宋体"/>
          <w:kern w:val="0"/>
          <w:sz w:val="24"/>
          <w:szCs w:val="24"/>
        </w:rPr>
      </w:pPr>
    </w:p>
    <w:p>
      <w:pPr>
        <w:pStyle w:val="5"/>
        <w:shd w:val="clear" w:color="auto" w:fill="FFFFFF"/>
        <w:spacing w:before="0" w:beforeAutospacing="0" w:after="0" w:afterAutospacing="0" w:line="450" w:lineRule="atLeast"/>
        <w:ind w:firstLine="645"/>
        <w:jc w:val="both"/>
      </w:pPr>
      <w:r>
        <w:rPr>
          <w:rFonts w:hint="eastAsia" w:ascii="仿宋_GB2312" w:eastAsia="仿宋_GB2312"/>
          <w:sz w:val="32"/>
          <w:szCs w:val="32"/>
        </w:rPr>
        <w:t>本年度报告是根据《中华人民共和国政府信息公开条例》（国务院令711号）和《国务院办公厅政府信息与政务公开办公室关于工作年度报告有关事项的通知》（国办公开函〔2019〕60号）要求，由贵州省气象局编制。全文包括：2021年度总体情况，主动公开政府信息情况，收到和处理政府信息公开申请情况，政府信息公开行政复议、提起行政诉讼情况，存在的主要问题及改进情况，其他需要报告的事项等6项内容。</w:t>
      </w:r>
    </w:p>
    <w:p>
      <w:pPr>
        <w:pStyle w:val="5"/>
        <w:shd w:val="clear" w:color="auto" w:fill="FFFFFF"/>
        <w:spacing w:before="0" w:beforeAutospacing="0" w:after="0" w:afterAutospacing="0" w:line="450" w:lineRule="atLeast"/>
        <w:ind w:firstLine="645"/>
        <w:jc w:val="both"/>
      </w:pPr>
      <w:r>
        <w:rPr>
          <w:rFonts w:hint="eastAsia" w:ascii="仿宋_GB2312" w:eastAsia="仿宋_GB2312"/>
          <w:sz w:val="32"/>
          <w:szCs w:val="32"/>
        </w:rPr>
        <w:t>本年度报告中使用数据统计期限为2021年1月1日至12月31日。如对本报告有任何疑问，请联系：贵州省气象局办公室，电话：0851 -85202336。</w:t>
      </w:r>
    </w:p>
    <w:p>
      <w:pPr>
        <w:widowControl/>
        <w:shd w:val="clear" w:color="auto" w:fill="FFFFFF"/>
        <w:ind w:firstLine="643" w:firstLineChars="200"/>
        <w:rPr>
          <w:rFonts w:ascii="仿宋_GB2312" w:hAnsi="宋体" w:eastAsia="仿宋_GB2312" w:cs="宋体"/>
          <w:b/>
          <w:kern w:val="0"/>
          <w:sz w:val="32"/>
          <w:szCs w:val="32"/>
        </w:rPr>
      </w:pPr>
      <w:r>
        <w:rPr>
          <w:rFonts w:hint="eastAsia" w:ascii="仿宋_GB2312" w:hAnsi="宋体" w:eastAsia="仿宋_GB2312" w:cs="宋体"/>
          <w:b/>
          <w:kern w:val="0"/>
          <w:sz w:val="32"/>
          <w:szCs w:val="32"/>
        </w:rPr>
        <w:t>一、总体情况</w:t>
      </w:r>
    </w:p>
    <w:p>
      <w:pPr>
        <w:widowControl/>
        <w:autoSpaceDN w:val="0"/>
        <w:spacing w:line="384"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2021年，我局认真贯彻落实《中华人民共和国政府信息公开条例 》和中国气象局、省委、省政府统一部署，不断健全完善政务信息公开工作制度，扎实有序做好政务信息公开工作，切实保障人民群众的知情权、参与权、监督权和表达权。</w:t>
      </w:r>
      <w:r>
        <w:rPr>
          <w:rFonts w:hint="eastAsia" w:ascii="仿宋_GB2312" w:hAnsi="仿宋_GB2312" w:eastAsia="仿宋_GB2312" w:cs="仿宋_GB2312"/>
          <w:b/>
          <w:sz w:val="32"/>
          <w:szCs w:val="32"/>
        </w:rPr>
        <w:t>一是</w:t>
      </w:r>
      <w:r>
        <w:rPr>
          <w:rFonts w:hint="eastAsia" w:ascii="仿宋_GB2312" w:hAnsi="宋体" w:eastAsia="仿宋_GB2312" w:cs="宋体"/>
          <w:kern w:val="0"/>
          <w:sz w:val="32"/>
          <w:szCs w:val="32"/>
        </w:rPr>
        <w:t>加强气象部门政府信息公开工作的组织领导，确定各级气象主管机构办公室是政府信息公开的主管部门，强化工作机制，统筹考虑、协同推进政府信息公开、网站建设、政府数据开放等工作。</w:t>
      </w:r>
      <w:r>
        <w:rPr>
          <w:rFonts w:hint="eastAsia" w:ascii="仿宋_GB2312" w:hAnsi="宋体" w:eastAsia="仿宋_GB2312" w:cs="宋体"/>
          <w:b/>
          <w:kern w:val="0"/>
          <w:sz w:val="32"/>
          <w:szCs w:val="32"/>
        </w:rPr>
        <w:t>二是</w:t>
      </w:r>
      <w:r>
        <w:rPr>
          <w:rFonts w:hint="eastAsia" w:ascii="仿宋_GB2312" w:hAnsi="宋体" w:eastAsia="仿宋_GB2312" w:cs="宋体"/>
          <w:kern w:val="0"/>
          <w:sz w:val="32"/>
          <w:szCs w:val="32"/>
        </w:rPr>
        <w:t>按照政府信息公开内容、流程、平台、时限等相关标准，推动政府信息公开工作规范化。对灾害性天气预警、行政审批等信息及时公开。遵循 “公开、透明、公平、便民”的原则，利用互联网、新媒体等积极拓宽政府信息公开渠道，保障公众的知情权。</w:t>
      </w:r>
      <w:r>
        <w:rPr>
          <w:rFonts w:hint="eastAsia" w:ascii="仿宋_GB2312" w:hAnsi="仿宋_GB2312" w:eastAsia="仿宋_GB2312" w:cs="仿宋_GB2312"/>
          <w:sz w:val="32"/>
          <w:szCs w:val="32"/>
        </w:rPr>
        <w:t>三是</w:t>
      </w:r>
      <w:r>
        <w:rPr>
          <w:rFonts w:hint="eastAsia" w:ascii="仿宋_GB2312" w:hAnsi="宋体" w:eastAsia="仿宋_GB2312" w:cs="宋体"/>
          <w:kern w:val="0"/>
          <w:sz w:val="32"/>
          <w:szCs w:val="32"/>
        </w:rPr>
        <w:t>根据省政府统一要求做好气象部门预算决算和“三公”经费公开工作。扎实做好政府采购信息公开，及时完整公开采购文件、中标或成交结果、采购合同等。推进气象部门重大业务项目和科技项目公开，研究确定重大业务项目和科技项目公开范畴，做好项目基本信息、批复文件及验收情况等项目信息的公开工作。</w:t>
      </w:r>
      <w:r>
        <w:rPr>
          <w:rFonts w:hint="eastAsia" w:ascii="仿宋_GB2312" w:hAnsi="宋体" w:eastAsia="仿宋_GB2312" w:cs="宋体"/>
          <w:b/>
          <w:kern w:val="0"/>
          <w:sz w:val="32"/>
          <w:szCs w:val="32"/>
        </w:rPr>
        <w:t>四是</w:t>
      </w:r>
      <w:r>
        <w:rPr>
          <w:rFonts w:hint="eastAsia" w:ascii="仿宋_GB2312" w:hAnsi="宋体" w:eastAsia="仿宋_GB2312" w:cs="宋体"/>
          <w:kern w:val="0"/>
          <w:sz w:val="32"/>
          <w:szCs w:val="32"/>
        </w:rPr>
        <w:t>加强人事管理信息公开，做好气象部门人事任免等信息公开工作，准确、及时地公开气象部门公务员招录、人事招聘等有关信息。</w:t>
      </w:r>
      <w:r>
        <w:rPr>
          <w:rFonts w:hint="eastAsia" w:ascii="仿宋_GB2312" w:hAnsi="宋体" w:eastAsia="仿宋_GB2312" w:cs="宋体"/>
          <w:b/>
          <w:kern w:val="0"/>
          <w:sz w:val="32"/>
          <w:szCs w:val="32"/>
        </w:rPr>
        <w:t>五是</w:t>
      </w:r>
      <w:r>
        <w:rPr>
          <w:rFonts w:hint="eastAsia" w:ascii="仿宋_GB2312" w:hAnsi="宋体" w:eastAsia="仿宋_GB2312" w:cs="宋体"/>
          <w:kern w:val="0"/>
          <w:sz w:val="32"/>
          <w:szCs w:val="32"/>
        </w:rPr>
        <w:t>加强气象预警及应对突发事件信息发布，通过各种渠道，及时发布气象预警等信息。</w:t>
      </w:r>
    </w:p>
    <w:p>
      <w:pPr>
        <w:widowControl/>
        <w:shd w:val="clear" w:color="auto" w:fill="FFFFFF"/>
        <w:ind w:firstLine="643" w:firstLineChars="200"/>
        <w:rPr>
          <w:rFonts w:ascii="仿宋_GB2312" w:hAnsi="宋体" w:eastAsia="仿宋_GB2312" w:cs="宋体"/>
          <w:b/>
          <w:kern w:val="0"/>
          <w:sz w:val="32"/>
          <w:szCs w:val="32"/>
        </w:rPr>
      </w:pPr>
      <w:r>
        <w:rPr>
          <w:rFonts w:hint="eastAsia" w:ascii="仿宋_GB2312" w:hAnsi="宋体" w:eastAsia="仿宋_GB2312" w:cs="宋体"/>
          <w:b/>
          <w:kern w:val="0"/>
          <w:sz w:val="32"/>
          <w:szCs w:val="32"/>
        </w:rPr>
        <w:t>二、主动公开政府信息情况</w:t>
      </w:r>
      <w:bookmarkStart w:id="0" w:name="_GoBack"/>
      <w:bookmarkEnd w:id="0"/>
    </w:p>
    <w:tbl>
      <w:tblPr>
        <w:tblStyle w:val="6"/>
        <w:tblW w:w="9740" w:type="dxa"/>
        <w:jc w:val="center"/>
        <w:tblLayout w:type="autofit"/>
        <w:tblCellMar>
          <w:top w:w="0" w:type="dxa"/>
          <w:left w:w="0" w:type="dxa"/>
          <w:bottom w:w="0" w:type="dxa"/>
          <w:right w:w="0" w:type="dxa"/>
        </w:tblCellMar>
      </w:tblPr>
      <w:tblGrid>
        <w:gridCol w:w="2435"/>
        <w:gridCol w:w="2435"/>
        <w:gridCol w:w="2435"/>
        <w:gridCol w:w="2435"/>
      </w:tblGrid>
      <w:tr>
        <w:tblPrEx>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widowControl/>
              <w:jc w:val="center"/>
              <w:rPr>
                <w:rFonts w:ascii="宋体" w:hAnsi="宋体" w:cs="宋体"/>
                <w:kern w:val="0"/>
                <w:sz w:val="24"/>
                <w:szCs w:val="24"/>
              </w:rPr>
            </w:pPr>
            <w:r>
              <w:rPr>
                <w:rFonts w:hint="eastAsia" w:ascii="宋体" w:hAnsi="宋体" w:eastAsia="宋体" w:cs="宋体"/>
                <w:kern w:val="0"/>
                <w:sz w:val="20"/>
                <w:szCs w:val="20"/>
              </w:rPr>
              <w:t>第二十条第（一）项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szCs w:val="24"/>
              </w:rPr>
            </w:pPr>
            <w:r>
              <w:rPr>
                <w:rFonts w:hint="eastAsia" w:ascii="宋体" w:hAnsi="宋体" w:eastAsia="宋体" w:cs="宋体"/>
                <w:kern w:val="0"/>
                <w:sz w:val="20"/>
                <w:szCs w:val="20"/>
              </w:rPr>
              <w:t>信息内容</w:t>
            </w:r>
          </w:p>
        </w:tc>
        <w:tc>
          <w:tcPr>
            <w:tcW w:w="2435"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szCs w:val="24"/>
              </w:rPr>
            </w:pPr>
            <w:r>
              <w:rPr>
                <w:rFonts w:hint="eastAsia" w:ascii="宋体" w:hAnsi="宋体" w:eastAsia="宋体" w:cs="宋体"/>
                <w:kern w:val="0"/>
                <w:sz w:val="20"/>
                <w:szCs w:val="20"/>
              </w:rPr>
              <w:t>本年</w:t>
            </w:r>
            <w:r>
              <w:rPr>
                <w:rFonts w:ascii="宋体" w:hAnsi="宋体" w:eastAsia="宋体" w:cs="宋体"/>
                <w:kern w:val="0"/>
                <w:sz w:val="20"/>
                <w:szCs w:val="20"/>
              </w:rPr>
              <w:t>制</w:t>
            </w:r>
            <w:r>
              <w:rPr>
                <w:rFonts w:hint="eastAsia" w:ascii="宋体" w:hAnsi="宋体" w:eastAsia="宋体" w:cs="宋体"/>
                <w:kern w:val="0"/>
                <w:sz w:val="20"/>
                <w:szCs w:val="20"/>
              </w:rPr>
              <w:t>发件</w:t>
            </w:r>
            <w:r>
              <w:rPr>
                <w:rFonts w:ascii="宋体" w:hAnsi="宋体" w:eastAsia="宋体" w:cs="宋体"/>
                <w:kern w:val="0"/>
                <w:sz w:val="20"/>
                <w:szCs w:val="20"/>
              </w:rPr>
              <w:t>数</w:t>
            </w:r>
          </w:p>
        </w:tc>
        <w:tc>
          <w:tcPr>
            <w:tcW w:w="2435"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szCs w:val="24"/>
              </w:rPr>
            </w:pPr>
            <w:r>
              <w:rPr>
                <w:rFonts w:hint="eastAsia" w:ascii="宋体" w:hAnsi="宋体" w:eastAsia="宋体" w:cs="宋体"/>
                <w:kern w:val="0"/>
                <w:sz w:val="20"/>
                <w:szCs w:val="20"/>
              </w:rPr>
              <w:t>本年废止件数</w:t>
            </w:r>
          </w:p>
        </w:tc>
        <w:tc>
          <w:tcPr>
            <w:tcW w:w="2435"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szCs w:val="24"/>
              </w:rPr>
            </w:pPr>
            <w:r>
              <w:rPr>
                <w:rFonts w:hint="eastAsia" w:ascii="宋体" w:hAnsi="宋体" w:eastAsia="宋体" w:cs="宋体"/>
                <w:kern w:val="0"/>
                <w:sz w:val="20"/>
                <w:szCs w:val="20"/>
              </w:rPr>
              <w:t>现行有效件</w:t>
            </w:r>
            <w:r>
              <w:rPr>
                <w:rFonts w:ascii="宋体" w:hAnsi="宋体" w:eastAsia="宋体" w:cs="宋体"/>
                <w:kern w:val="0"/>
                <w:sz w:val="20"/>
                <w:szCs w:val="20"/>
              </w:rPr>
              <w:t>数</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cs="宋体"/>
                <w:kern w:val="0"/>
                <w:sz w:val="24"/>
                <w:szCs w:val="24"/>
              </w:rPr>
            </w:pPr>
            <w:r>
              <w:rPr>
                <w:rFonts w:hint="eastAsia" w:ascii="宋体" w:hAnsi="宋体" w:eastAsia="宋体" w:cs="宋体"/>
                <w:kern w:val="0"/>
                <w:sz w:val="20"/>
                <w:szCs w:val="20"/>
              </w:rPr>
              <w:t>规章</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cs="宋体" w:eastAsiaTheme="minorEastAsia"/>
                <w:kern w:val="0"/>
                <w:sz w:val="24"/>
                <w:szCs w:val="24"/>
                <w:lang w:val="en-US" w:eastAsia="zh-CN"/>
              </w:rPr>
            </w:pPr>
            <w:r>
              <w:rPr>
                <w:rFonts w:hint="eastAsia" w:ascii="宋体" w:hAnsi="宋体" w:cs="宋体"/>
                <w:kern w:val="0"/>
                <w:sz w:val="24"/>
                <w:szCs w:val="24"/>
                <w:lang w:val="en-US" w:eastAsia="zh-CN"/>
              </w:rPr>
              <w:t>0</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cs="宋体" w:eastAsiaTheme="minorEastAsia"/>
                <w:kern w:val="0"/>
                <w:sz w:val="24"/>
                <w:szCs w:val="24"/>
                <w:lang w:val="en-US" w:eastAsia="zh-CN"/>
              </w:rPr>
            </w:pPr>
            <w:r>
              <w:rPr>
                <w:rFonts w:hint="eastAsia" w:ascii="宋体" w:hAnsi="宋体" w:cs="宋体"/>
                <w:kern w:val="0"/>
                <w:sz w:val="24"/>
                <w:szCs w:val="24"/>
                <w:lang w:val="en-US" w:eastAsia="zh-CN"/>
              </w:rPr>
              <w:t>0</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szCs w:val="24"/>
              </w:rPr>
            </w:pPr>
            <w:r>
              <w:rPr>
                <w:rFonts w:hint="eastAsia" w:ascii="Calibri" w:hAnsi="Calibri" w:eastAsia="宋体" w:cs="宋体"/>
                <w:kern w:val="0"/>
                <w:sz w:val="24"/>
                <w:szCs w:val="24"/>
              </w:rPr>
              <w:t>3</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cs="宋体"/>
                <w:kern w:val="0"/>
                <w:sz w:val="24"/>
                <w:szCs w:val="24"/>
              </w:rPr>
            </w:pPr>
            <w:r>
              <w:rPr>
                <w:rFonts w:hint="eastAsia" w:ascii="宋体" w:hAnsi="宋体" w:eastAsia="宋体" w:cs="宋体"/>
                <w:kern w:val="0"/>
                <w:sz w:val="20"/>
                <w:szCs w:val="20"/>
              </w:rPr>
              <w:t>行政规范性文件</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cs="宋体" w:eastAsiaTheme="minorEastAsia"/>
                <w:kern w:val="0"/>
                <w:sz w:val="24"/>
                <w:szCs w:val="24"/>
                <w:lang w:val="en-US" w:eastAsia="zh-CN"/>
              </w:rPr>
            </w:pPr>
            <w:r>
              <w:rPr>
                <w:rFonts w:hint="eastAsia" w:ascii="宋体" w:hAnsi="宋体" w:cs="宋体"/>
                <w:kern w:val="0"/>
                <w:sz w:val="24"/>
                <w:szCs w:val="24"/>
                <w:lang w:val="en-US" w:eastAsia="zh-CN"/>
              </w:rPr>
              <w:t>2</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cs="宋体" w:eastAsiaTheme="minorEastAsia"/>
                <w:kern w:val="0"/>
                <w:sz w:val="24"/>
                <w:szCs w:val="24"/>
                <w:lang w:val="en-US" w:eastAsia="zh-CN"/>
              </w:rPr>
            </w:pPr>
            <w:r>
              <w:rPr>
                <w:rFonts w:hint="eastAsia" w:ascii="宋体" w:hAnsi="宋体" w:cs="宋体"/>
                <w:kern w:val="0"/>
                <w:sz w:val="24"/>
                <w:szCs w:val="24"/>
                <w:lang w:val="en-US" w:eastAsia="zh-CN"/>
              </w:rPr>
              <w:t>0</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default" w:ascii="宋体" w:hAnsi="宋体" w:eastAsia="宋体" w:cs="宋体"/>
                <w:kern w:val="0"/>
                <w:sz w:val="24"/>
                <w:szCs w:val="24"/>
                <w:lang w:val="en-US" w:eastAsia="zh-CN"/>
              </w:rPr>
            </w:pPr>
            <w:r>
              <w:rPr>
                <w:rFonts w:hint="eastAsia" w:ascii="Calibri" w:hAnsi="Calibri" w:eastAsia="宋体" w:cs="宋体"/>
                <w:kern w:val="0"/>
                <w:sz w:val="24"/>
                <w:szCs w:val="24"/>
                <w:lang w:val="en-US" w:eastAsia="zh-CN"/>
              </w:rPr>
              <w:t>13</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widowControl/>
              <w:jc w:val="center"/>
              <w:rPr>
                <w:rFonts w:ascii="宋体" w:hAnsi="宋体" w:cs="宋体"/>
                <w:kern w:val="0"/>
                <w:sz w:val="24"/>
                <w:szCs w:val="24"/>
              </w:rPr>
            </w:pPr>
            <w:r>
              <w:rPr>
                <w:rFonts w:hint="eastAsia" w:ascii="宋体" w:hAnsi="宋体" w:eastAsia="宋体" w:cs="宋体"/>
                <w:kern w:val="0"/>
                <w:sz w:val="20"/>
                <w:szCs w:val="20"/>
              </w:rPr>
              <w:t>第二十条第（五）项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szCs w:val="24"/>
              </w:rPr>
            </w:pPr>
            <w:r>
              <w:rPr>
                <w:rFonts w:hint="eastAsia" w:ascii="宋体" w:hAnsi="宋体" w:eastAsia="宋体" w:cs="宋体"/>
                <w:kern w:val="0"/>
                <w:sz w:val="20"/>
                <w:szCs w:val="20"/>
              </w:rPr>
              <w:t>信息内容</w:t>
            </w:r>
          </w:p>
        </w:tc>
        <w:tc>
          <w:tcPr>
            <w:tcW w:w="7305"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szCs w:val="24"/>
              </w:rPr>
            </w:pPr>
            <w:r>
              <w:rPr>
                <w:rFonts w:hint="eastAsia" w:ascii="宋体" w:hAnsi="宋体" w:eastAsia="宋体" w:cs="宋体"/>
                <w:kern w:val="0"/>
                <w:sz w:val="20"/>
                <w:szCs w:val="20"/>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cs="宋体"/>
                <w:kern w:val="0"/>
                <w:sz w:val="24"/>
                <w:szCs w:val="24"/>
              </w:rPr>
            </w:pPr>
            <w:r>
              <w:rPr>
                <w:rFonts w:hint="eastAsia" w:ascii="宋体" w:hAnsi="宋体" w:eastAsia="宋体" w:cs="宋体"/>
                <w:kern w:val="0"/>
                <w:sz w:val="20"/>
                <w:szCs w:val="20"/>
              </w:rPr>
              <w:t>行政许可</w:t>
            </w:r>
          </w:p>
        </w:tc>
        <w:tc>
          <w:tcPr>
            <w:tcW w:w="7305"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default" w:ascii="宋体" w:hAnsi="宋体" w:cs="宋体" w:eastAsiaTheme="minorEastAsia"/>
                <w:kern w:val="0"/>
                <w:sz w:val="24"/>
                <w:szCs w:val="24"/>
                <w:lang w:val="en-US" w:eastAsia="zh-CN"/>
              </w:rPr>
            </w:pPr>
            <w:r>
              <w:rPr>
                <w:rFonts w:hint="eastAsia" w:ascii="宋体" w:hAnsi="宋体" w:cs="宋体"/>
                <w:kern w:val="0"/>
                <w:sz w:val="24"/>
                <w:szCs w:val="24"/>
                <w:lang w:val="en-US" w:eastAsia="zh-CN"/>
              </w:rPr>
              <w:t>360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widowControl/>
              <w:jc w:val="center"/>
              <w:rPr>
                <w:rFonts w:ascii="宋体" w:hAnsi="宋体" w:cs="宋体"/>
                <w:kern w:val="0"/>
                <w:sz w:val="24"/>
                <w:szCs w:val="24"/>
              </w:rPr>
            </w:pPr>
            <w:r>
              <w:rPr>
                <w:rFonts w:hint="eastAsia" w:ascii="宋体" w:hAnsi="宋体" w:eastAsia="宋体" w:cs="宋体"/>
                <w:kern w:val="0"/>
                <w:sz w:val="20"/>
                <w:szCs w:val="20"/>
              </w:rPr>
              <w:t>第二十条第（六）项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szCs w:val="24"/>
              </w:rPr>
            </w:pPr>
            <w:r>
              <w:rPr>
                <w:rFonts w:hint="eastAsia" w:ascii="宋体" w:hAnsi="宋体" w:eastAsia="宋体" w:cs="宋体"/>
                <w:kern w:val="0"/>
                <w:sz w:val="20"/>
                <w:szCs w:val="20"/>
              </w:rPr>
              <w:t>信息内容</w:t>
            </w:r>
          </w:p>
        </w:tc>
        <w:tc>
          <w:tcPr>
            <w:tcW w:w="7305" w:type="dxa"/>
            <w:gridSpan w:val="3"/>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szCs w:val="24"/>
              </w:rPr>
            </w:pPr>
            <w:r>
              <w:rPr>
                <w:rFonts w:hint="eastAsia" w:ascii="宋体" w:hAnsi="宋体" w:eastAsia="宋体" w:cs="宋体"/>
                <w:kern w:val="0"/>
                <w:sz w:val="20"/>
                <w:szCs w:val="20"/>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cs="宋体"/>
                <w:kern w:val="0"/>
                <w:sz w:val="24"/>
                <w:szCs w:val="24"/>
              </w:rPr>
            </w:pPr>
            <w:r>
              <w:rPr>
                <w:rFonts w:hint="eastAsia" w:ascii="宋体" w:hAnsi="宋体" w:eastAsia="宋体" w:cs="宋体"/>
                <w:kern w:val="0"/>
                <w:sz w:val="20"/>
                <w:szCs w:val="20"/>
              </w:rPr>
              <w:t>行政处罚</w:t>
            </w:r>
          </w:p>
        </w:tc>
        <w:tc>
          <w:tcPr>
            <w:tcW w:w="7305"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cs="宋体" w:eastAsiaTheme="minorEastAsia"/>
                <w:kern w:val="0"/>
                <w:sz w:val="24"/>
                <w:szCs w:val="24"/>
                <w:lang w:val="en-US" w:eastAsia="zh-CN"/>
              </w:rPr>
            </w:pPr>
            <w:r>
              <w:rPr>
                <w:rFonts w:hint="eastAsia" w:ascii="宋体" w:hAnsi="宋体" w:cs="宋体"/>
                <w:kern w:val="0"/>
                <w:sz w:val="24"/>
                <w:szCs w:val="24"/>
                <w:lang w:val="en-US" w:eastAsia="zh-CN"/>
              </w:rPr>
              <w:t>0</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cs="宋体"/>
                <w:kern w:val="0"/>
                <w:sz w:val="24"/>
                <w:szCs w:val="24"/>
              </w:rPr>
            </w:pPr>
            <w:r>
              <w:rPr>
                <w:rFonts w:hint="eastAsia" w:ascii="宋体" w:hAnsi="宋体" w:eastAsia="宋体" w:cs="宋体"/>
                <w:kern w:val="0"/>
                <w:sz w:val="20"/>
                <w:szCs w:val="20"/>
              </w:rPr>
              <w:t>行政强制</w:t>
            </w:r>
          </w:p>
        </w:tc>
        <w:tc>
          <w:tcPr>
            <w:tcW w:w="7305"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cs="宋体" w:eastAsiaTheme="minorEastAsia"/>
                <w:kern w:val="0"/>
                <w:sz w:val="24"/>
                <w:szCs w:val="24"/>
                <w:lang w:val="en-US" w:eastAsia="zh-CN"/>
              </w:rPr>
            </w:pPr>
            <w:r>
              <w:rPr>
                <w:rFonts w:hint="eastAsia" w:ascii="宋体" w:hAnsi="宋体" w:cs="宋体"/>
                <w:kern w:val="0"/>
                <w:sz w:val="24"/>
                <w:szCs w:val="24"/>
                <w:lang w:val="en-US" w:eastAsia="zh-CN"/>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widowControl/>
              <w:jc w:val="center"/>
              <w:rPr>
                <w:rFonts w:ascii="宋体" w:hAnsi="宋体" w:cs="宋体"/>
                <w:kern w:val="0"/>
                <w:sz w:val="24"/>
                <w:szCs w:val="24"/>
              </w:rPr>
            </w:pPr>
            <w:r>
              <w:rPr>
                <w:rFonts w:hint="eastAsia" w:ascii="宋体" w:hAnsi="宋体" w:eastAsia="宋体" w:cs="宋体"/>
                <w:kern w:val="0"/>
                <w:sz w:val="20"/>
                <w:szCs w:val="20"/>
              </w:rPr>
              <w:t>第二十条第（八）项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szCs w:val="24"/>
              </w:rPr>
            </w:pPr>
            <w:r>
              <w:rPr>
                <w:rFonts w:hint="eastAsia" w:ascii="宋体" w:hAnsi="宋体" w:eastAsia="宋体" w:cs="宋体"/>
                <w:kern w:val="0"/>
                <w:sz w:val="20"/>
                <w:szCs w:val="20"/>
              </w:rPr>
              <w:t>信息内容</w:t>
            </w:r>
          </w:p>
        </w:tc>
        <w:tc>
          <w:tcPr>
            <w:tcW w:w="7305" w:type="dxa"/>
            <w:gridSpan w:val="3"/>
            <w:tcBorders>
              <w:top w:val="nil"/>
              <w:left w:val="nil"/>
              <w:bottom w:val="single" w:color="auto" w:sz="8" w:space="0"/>
              <w:right w:val="single" w:color="000000" w:sz="8" w:space="0"/>
            </w:tcBorders>
            <w:tcMar>
              <w:top w:w="0" w:type="dxa"/>
              <w:left w:w="57" w:type="dxa"/>
              <w:bottom w:w="0" w:type="dxa"/>
              <w:right w:w="57" w:type="dxa"/>
            </w:tcMar>
            <w:vAlign w:val="center"/>
          </w:tcPr>
          <w:p>
            <w:pPr>
              <w:widowControl/>
              <w:jc w:val="center"/>
              <w:rPr>
                <w:rFonts w:ascii="宋体" w:hAnsi="宋体" w:cs="宋体"/>
                <w:kern w:val="0"/>
                <w:sz w:val="24"/>
                <w:szCs w:val="24"/>
              </w:rPr>
            </w:pPr>
            <w:r>
              <w:rPr>
                <w:rFonts w:hint="eastAsia" w:ascii="宋体" w:hAnsi="宋体" w:eastAsia="宋体" w:cs="宋体"/>
                <w:kern w:val="0"/>
                <w:sz w:val="20"/>
                <w:szCs w:val="20"/>
              </w:rPr>
              <w:t>本年收费金额（单位：万元）</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cs="宋体"/>
                <w:kern w:val="0"/>
                <w:sz w:val="24"/>
                <w:szCs w:val="24"/>
              </w:rPr>
            </w:pPr>
            <w:r>
              <w:rPr>
                <w:rFonts w:hint="eastAsia" w:ascii="宋体" w:hAnsi="宋体" w:eastAsia="宋体" w:cs="宋体"/>
                <w:kern w:val="0"/>
                <w:sz w:val="20"/>
                <w:szCs w:val="20"/>
              </w:rPr>
              <w:t>行政事业性收费</w:t>
            </w:r>
          </w:p>
        </w:tc>
        <w:tc>
          <w:tcPr>
            <w:tcW w:w="7305" w:type="dxa"/>
            <w:gridSpan w:val="3"/>
            <w:tcBorders>
              <w:top w:val="nil"/>
              <w:left w:val="nil"/>
              <w:bottom w:val="single" w:color="auto" w:sz="8" w:space="0"/>
              <w:right w:val="single" w:color="000000" w:sz="8" w:space="0"/>
            </w:tcBorders>
            <w:tcMar>
              <w:top w:w="0" w:type="dxa"/>
              <w:left w:w="57" w:type="dxa"/>
              <w:bottom w:w="0" w:type="dxa"/>
              <w:right w:w="57" w:type="dxa"/>
            </w:tcMar>
            <w:vAlign w:val="center"/>
          </w:tcPr>
          <w:p>
            <w:pPr>
              <w:widowControl/>
              <w:jc w:val="center"/>
              <w:rPr>
                <w:rFonts w:hint="default" w:ascii="宋体" w:hAnsi="宋体" w:cs="宋体" w:eastAsiaTheme="minorEastAsia"/>
                <w:kern w:val="0"/>
                <w:sz w:val="24"/>
                <w:szCs w:val="24"/>
                <w:lang w:val="en-US" w:eastAsia="zh-CN"/>
              </w:rPr>
            </w:pPr>
            <w:r>
              <w:rPr>
                <w:rFonts w:hint="eastAsia" w:ascii="宋体" w:hAnsi="宋体" w:cs="宋体"/>
                <w:kern w:val="0"/>
                <w:sz w:val="24"/>
                <w:szCs w:val="24"/>
                <w:lang w:val="en-US" w:eastAsia="zh-CN"/>
              </w:rPr>
              <w:t>0</w:t>
            </w:r>
          </w:p>
        </w:tc>
      </w:tr>
    </w:tbl>
    <w:p>
      <w:pPr>
        <w:widowControl/>
        <w:shd w:val="clear" w:color="auto" w:fill="FFFFFF"/>
        <w:ind w:firstLine="643" w:firstLineChars="200"/>
        <w:rPr>
          <w:rFonts w:ascii="仿宋_GB2312" w:hAnsi="宋体" w:eastAsia="仿宋_GB2312" w:cs="宋体"/>
          <w:b/>
          <w:kern w:val="0"/>
          <w:sz w:val="32"/>
          <w:szCs w:val="32"/>
        </w:rPr>
      </w:pPr>
      <w:r>
        <w:rPr>
          <w:rFonts w:hint="eastAsia" w:ascii="仿宋_GB2312" w:hAnsi="宋体" w:eastAsia="仿宋_GB2312" w:cs="宋体"/>
          <w:b/>
          <w:kern w:val="0"/>
          <w:sz w:val="32"/>
          <w:szCs w:val="32"/>
        </w:rPr>
        <w:t>三、收到和处理政府信息公开申请情况</w:t>
      </w:r>
    </w:p>
    <w:tbl>
      <w:tblPr>
        <w:tblStyle w:val="6"/>
        <w:tblW w:w="9748" w:type="dxa"/>
        <w:jc w:val="center"/>
        <w:tblLayout w:type="autofit"/>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CellMar>
            <w:top w:w="0" w:type="dxa"/>
            <w:left w:w="0" w:type="dxa"/>
            <w:bottom w:w="0" w:type="dxa"/>
            <w:right w:w="0" w:type="dxa"/>
          </w:tblCellMar>
        </w:tblPrEx>
        <w:trPr>
          <w:jc w:val="center"/>
        </w:trPr>
        <w:tc>
          <w:tcPr>
            <w:tcW w:w="4931" w:type="dxa"/>
            <w:gridSpan w:val="3"/>
            <w:vMerge w:val="restart"/>
            <w:tcBorders>
              <w:top w:val="single" w:color="auto" w:sz="8" w:space="0"/>
              <w:left w:val="single" w:color="auto" w:sz="8" w:space="0"/>
              <w:bottom w:val="inset" w:color="auto" w:sz="8" w:space="0"/>
              <w:right w:val="single" w:color="auto" w:sz="8" w:space="0"/>
            </w:tcBorders>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楷体" w:hAnsi="楷体" w:eastAsia="楷体" w:cs="宋体"/>
                <w:kern w:val="0"/>
                <w:sz w:val="20"/>
                <w:szCs w:val="20"/>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szCs w:val="24"/>
              </w:rPr>
            </w:pPr>
            <w:r>
              <w:rPr>
                <w:rFonts w:hint="eastAsia" w:ascii="宋体" w:hAnsi="宋体" w:eastAsia="宋体" w:cs="宋体"/>
                <w:kern w:val="0"/>
                <w:sz w:val="20"/>
                <w:szCs w:val="20"/>
              </w:rPr>
              <w:t>申请人情况</w:t>
            </w:r>
          </w:p>
        </w:tc>
      </w:tr>
      <w:tr>
        <w:tblPrEx>
          <w:tblCellMar>
            <w:top w:w="0" w:type="dxa"/>
            <w:left w:w="0" w:type="dxa"/>
            <w:bottom w:w="0" w:type="dxa"/>
            <w:right w:w="0" w:type="dxa"/>
          </w:tblCellMar>
        </w:tblPrEx>
        <w:trPr>
          <w:jc w:val="center"/>
        </w:trPr>
        <w:tc>
          <w:tcPr>
            <w:tcW w:w="0" w:type="auto"/>
            <w:gridSpan w:val="3"/>
            <w:vMerge w:val="continue"/>
            <w:tcBorders>
              <w:top w:val="single" w:color="auto" w:sz="8" w:space="0"/>
              <w:left w:val="single" w:color="auto" w:sz="8" w:space="0"/>
              <w:bottom w:val="inset" w:color="auto" w:sz="8" w:space="0"/>
              <w:right w:val="single" w:color="auto" w:sz="8" w:space="0"/>
            </w:tcBorders>
            <w:vAlign w:val="center"/>
          </w:tcPr>
          <w:p>
            <w:pPr>
              <w:widowControl/>
              <w:jc w:val="left"/>
              <w:rPr>
                <w:rFonts w:ascii="宋体" w:hAnsi="宋体" w:cs="宋体"/>
                <w:kern w:val="0"/>
                <w:sz w:val="24"/>
                <w:szCs w:val="24"/>
              </w:rPr>
            </w:pPr>
          </w:p>
        </w:tc>
        <w:tc>
          <w:tcPr>
            <w:tcW w:w="688" w:type="dxa"/>
            <w:vMerge w:val="restart"/>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szCs w:val="24"/>
              </w:rPr>
            </w:pPr>
            <w:r>
              <w:rPr>
                <w:rFonts w:hint="eastAsia" w:ascii="宋体" w:hAnsi="宋体" w:eastAsia="宋体" w:cs="宋体"/>
                <w:kern w:val="0"/>
                <w:sz w:val="20"/>
                <w:szCs w:val="20"/>
              </w:rPr>
              <w:t>自然人</w:t>
            </w:r>
          </w:p>
        </w:tc>
        <w:tc>
          <w:tcPr>
            <w:tcW w:w="3440" w:type="dxa"/>
            <w:gridSpan w:val="5"/>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szCs w:val="24"/>
              </w:rPr>
            </w:pPr>
            <w:r>
              <w:rPr>
                <w:rFonts w:hint="eastAsia" w:ascii="宋体" w:hAnsi="宋体" w:eastAsia="宋体" w:cs="宋体"/>
                <w:kern w:val="0"/>
                <w:sz w:val="20"/>
                <w:szCs w:val="20"/>
              </w:rPr>
              <w:t>法人或其他组织</w:t>
            </w:r>
          </w:p>
        </w:tc>
        <w:tc>
          <w:tcPr>
            <w:tcW w:w="689" w:type="dxa"/>
            <w:vMerge w:val="restart"/>
            <w:tcBorders>
              <w:top w:val="single" w:color="auto" w:sz="8" w:space="0"/>
              <w:left w:val="nil"/>
              <w:bottom w:val="inset"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szCs w:val="24"/>
              </w:rPr>
            </w:pPr>
            <w:r>
              <w:rPr>
                <w:rFonts w:hint="eastAsia" w:ascii="宋体" w:hAnsi="宋体" w:eastAsia="宋体" w:cs="宋体"/>
                <w:kern w:val="0"/>
                <w:sz w:val="20"/>
                <w:szCs w:val="20"/>
              </w:rPr>
              <w:t>总计</w:t>
            </w:r>
          </w:p>
        </w:tc>
      </w:tr>
      <w:tr>
        <w:tblPrEx>
          <w:tblCellMar>
            <w:top w:w="0" w:type="dxa"/>
            <w:left w:w="0" w:type="dxa"/>
            <w:bottom w:w="0" w:type="dxa"/>
            <w:right w:w="0" w:type="dxa"/>
          </w:tblCellMar>
        </w:tblPrEx>
        <w:trPr>
          <w:jc w:val="center"/>
        </w:trPr>
        <w:tc>
          <w:tcPr>
            <w:tcW w:w="0" w:type="auto"/>
            <w:gridSpan w:val="3"/>
            <w:vMerge w:val="continue"/>
            <w:tcBorders>
              <w:top w:val="single" w:color="auto" w:sz="8" w:space="0"/>
              <w:left w:val="single" w:color="auto" w:sz="8" w:space="0"/>
              <w:bottom w:val="inset" w:color="auto" w:sz="8" w:space="0"/>
              <w:right w:val="single" w:color="auto" w:sz="8" w:space="0"/>
            </w:tcBorders>
            <w:vAlign w:val="center"/>
          </w:tcPr>
          <w:p>
            <w:pPr>
              <w:widowControl/>
              <w:jc w:val="left"/>
              <w:rPr>
                <w:rFonts w:ascii="宋体" w:hAnsi="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cs="宋体"/>
                <w:kern w:val="0"/>
                <w:sz w:val="24"/>
                <w:szCs w:val="24"/>
              </w:rPr>
            </w:pP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0" w:lineRule="atLeast"/>
              <w:jc w:val="center"/>
              <w:rPr>
                <w:rFonts w:ascii="宋体" w:hAnsi="宋体" w:cs="宋体"/>
                <w:kern w:val="0"/>
                <w:sz w:val="24"/>
                <w:szCs w:val="24"/>
              </w:rPr>
            </w:pPr>
            <w:r>
              <w:rPr>
                <w:rFonts w:hint="eastAsia" w:ascii="宋体" w:hAnsi="宋体" w:eastAsia="宋体" w:cs="宋体"/>
                <w:kern w:val="0"/>
                <w:sz w:val="20"/>
                <w:szCs w:val="20"/>
              </w:rPr>
              <w:t>商业</w:t>
            </w:r>
          </w:p>
          <w:p>
            <w:pPr>
              <w:widowControl/>
              <w:spacing w:line="0" w:lineRule="atLeast"/>
              <w:jc w:val="center"/>
              <w:rPr>
                <w:rFonts w:ascii="宋体" w:hAnsi="宋体" w:cs="宋体"/>
                <w:kern w:val="0"/>
                <w:sz w:val="24"/>
                <w:szCs w:val="24"/>
              </w:rPr>
            </w:pPr>
            <w:r>
              <w:rPr>
                <w:rFonts w:hint="eastAsia" w:ascii="宋体" w:hAnsi="宋体" w:eastAsia="宋体" w:cs="宋体"/>
                <w:kern w:val="0"/>
                <w:sz w:val="20"/>
                <w:szCs w:val="20"/>
              </w:rPr>
              <w:t>企业</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0" w:lineRule="atLeast"/>
              <w:jc w:val="center"/>
              <w:rPr>
                <w:rFonts w:ascii="宋体" w:hAnsi="宋体" w:cs="宋体"/>
                <w:kern w:val="0"/>
                <w:sz w:val="24"/>
                <w:szCs w:val="24"/>
              </w:rPr>
            </w:pPr>
            <w:r>
              <w:rPr>
                <w:rFonts w:hint="eastAsia" w:ascii="宋体" w:hAnsi="宋体" w:eastAsia="宋体" w:cs="宋体"/>
                <w:kern w:val="0"/>
                <w:sz w:val="20"/>
                <w:szCs w:val="20"/>
              </w:rPr>
              <w:t>科研</w:t>
            </w:r>
          </w:p>
          <w:p>
            <w:pPr>
              <w:widowControl/>
              <w:spacing w:line="0" w:lineRule="atLeast"/>
              <w:jc w:val="center"/>
              <w:rPr>
                <w:rFonts w:ascii="宋体" w:hAnsi="宋体" w:cs="宋体"/>
                <w:kern w:val="0"/>
                <w:sz w:val="24"/>
                <w:szCs w:val="24"/>
              </w:rPr>
            </w:pPr>
            <w:r>
              <w:rPr>
                <w:rFonts w:hint="eastAsia" w:ascii="宋体" w:hAnsi="宋体" w:eastAsia="宋体" w:cs="宋体"/>
                <w:kern w:val="0"/>
                <w:sz w:val="20"/>
                <w:szCs w:val="20"/>
              </w:rPr>
              <w:t>机构</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spacing w:line="0" w:lineRule="atLeast"/>
              <w:jc w:val="center"/>
              <w:rPr>
                <w:rFonts w:ascii="宋体" w:hAnsi="宋体" w:cs="宋体"/>
                <w:kern w:val="0"/>
                <w:sz w:val="24"/>
                <w:szCs w:val="24"/>
              </w:rPr>
            </w:pPr>
            <w:r>
              <w:rPr>
                <w:rFonts w:hint="eastAsia" w:ascii="宋体" w:hAnsi="宋体" w:eastAsia="宋体" w:cs="宋体"/>
                <w:kern w:val="0"/>
                <w:sz w:val="20"/>
                <w:szCs w:val="20"/>
              </w:rPr>
              <w:t>社会公益组织</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spacing w:line="0" w:lineRule="atLeast"/>
              <w:jc w:val="center"/>
              <w:rPr>
                <w:rFonts w:ascii="宋体" w:hAnsi="宋体" w:cs="宋体"/>
                <w:kern w:val="0"/>
                <w:sz w:val="24"/>
                <w:szCs w:val="24"/>
              </w:rPr>
            </w:pPr>
            <w:r>
              <w:rPr>
                <w:rFonts w:hint="eastAsia" w:ascii="宋体" w:hAnsi="宋体" w:eastAsia="宋体" w:cs="宋体"/>
                <w:kern w:val="0"/>
                <w:sz w:val="20"/>
                <w:szCs w:val="20"/>
              </w:rPr>
              <w:t>法律服务机构</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szCs w:val="24"/>
              </w:rPr>
            </w:pPr>
            <w:r>
              <w:rPr>
                <w:rFonts w:hint="eastAsia" w:ascii="宋体" w:hAnsi="宋体" w:eastAsia="宋体" w:cs="宋体"/>
                <w:kern w:val="0"/>
                <w:sz w:val="20"/>
                <w:szCs w:val="20"/>
              </w:rPr>
              <w:t>其他</w:t>
            </w:r>
          </w:p>
        </w:tc>
        <w:tc>
          <w:tcPr>
            <w:tcW w:w="0" w:type="auto"/>
            <w:vMerge w:val="continue"/>
            <w:tcBorders>
              <w:top w:val="single" w:color="auto" w:sz="8" w:space="0"/>
              <w:left w:val="nil"/>
              <w:bottom w:val="inset" w:color="auto" w:sz="8" w:space="0"/>
              <w:right w:val="single" w:color="auto" w:sz="8" w:space="0"/>
            </w:tcBorders>
            <w:vAlign w:val="center"/>
          </w:tcPr>
          <w:p>
            <w:pPr>
              <w:widowControl/>
              <w:jc w:val="left"/>
              <w:rPr>
                <w:rFonts w:ascii="宋体" w:hAnsi="宋体" w:cs="宋体"/>
                <w:kern w:val="0"/>
                <w:sz w:val="24"/>
                <w:szCs w:val="24"/>
              </w:rPr>
            </w:pPr>
          </w:p>
        </w:tc>
      </w:tr>
      <w:tr>
        <w:tblPrEx>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cs="宋体"/>
                <w:kern w:val="0"/>
                <w:sz w:val="24"/>
                <w:szCs w:val="24"/>
              </w:rPr>
            </w:pPr>
            <w:r>
              <w:rPr>
                <w:rFonts w:hint="eastAsia" w:ascii="宋体" w:hAnsi="宋体" w:eastAsia="宋体" w:cs="宋体"/>
                <w:kern w:val="0"/>
                <w:sz w:val="20"/>
                <w:szCs w:val="20"/>
              </w:rPr>
              <w:t>一、本年新收政府信息公开申请数量</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r>
      <w:tr>
        <w:tblPrEx>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cs="宋体"/>
                <w:kern w:val="0"/>
                <w:sz w:val="24"/>
                <w:szCs w:val="24"/>
              </w:rPr>
            </w:pPr>
            <w:r>
              <w:rPr>
                <w:rFonts w:hint="eastAsia" w:ascii="宋体" w:hAnsi="宋体" w:eastAsia="宋体" w:cs="宋体"/>
                <w:kern w:val="0"/>
                <w:sz w:val="20"/>
                <w:szCs w:val="20"/>
              </w:rPr>
              <w:t>二、上年结转政府信息公开申请数量</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eastAsiaTheme="minorEastAsia"/>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eastAsiaTheme="minorEastAsia"/>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eastAsiaTheme="minorEastAsia"/>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eastAsiaTheme="minorEastAsia"/>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eastAsiaTheme="minorEastAsia"/>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jc w:val="center"/>
              <w:rPr>
                <w:rFonts w:ascii="宋体" w:hAnsi="宋体" w:cs="宋体" w:eastAsiaTheme="minorEastAsia"/>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r>
      <w:tr>
        <w:tblPrEx>
          <w:tblCellMar>
            <w:top w:w="0" w:type="dxa"/>
            <w:left w:w="0" w:type="dxa"/>
            <w:bottom w:w="0" w:type="dxa"/>
            <w:right w:w="0" w:type="dxa"/>
          </w:tblCellMar>
        </w:tblPrEx>
        <w:trPr>
          <w:jc w:val="center"/>
        </w:trPr>
        <w:tc>
          <w:tcPr>
            <w:tcW w:w="768" w:type="dxa"/>
            <w:vMerge w:val="restart"/>
            <w:tcBorders>
              <w:top w:val="nil"/>
              <w:left w:val="single" w:color="auto" w:sz="8" w:space="0"/>
              <w:bottom w:val="inset" w:color="auto" w:sz="8" w:space="0"/>
              <w:right w:val="single" w:color="auto" w:sz="8" w:space="0"/>
            </w:tcBorders>
            <w:tcMar>
              <w:top w:w="0" w:type="dxa"/>
              <w:left w:w="57" w:type="dxa"/>
              <w:bottom w:w="0" w:type="dxa"/>
              <w:right w:w="57" w:type="dxa"/>
            </w:tcMar>
            <w:vAlign w:val="center"/>
          </w:tcPr>
          <w:p>
            <w:pPr>
              <w:widowControl/>
              <w:jc w:val="left"/>
              <w:rPr>
                <w:rFonts w:ascii="宋体" w:hAnsi="宋体" w:cs="宋体"/>
                <w:kern w:val="0"/>
                <w:sz w:val="24"/>
                <w:szCs w:val="24"/>
              </w:rPr>
            </w:pPr>
            <w:r>
              <w:rPr>
                <w:rFonts w:hint="eastAsia" w:ascii="宋体" w:hAnsi="宋体" w:eastAsia="宋体" w:cs="宋体"/>
                <w:kern w:val="0"/>
                <w:sz w:val="20"/>
                <w:szCs w:val="20"/>
              </w:rPr>
              <w:t>三、本年度办理结果</w:t>
            </w:r>
          </w:p>
        </w:tc>
        <w:tc>
          <w:tcPr>
            <w:tcW w:w="4163"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cs="宋体"/>
                <w:kern w:val="0"/>
                <w:sz w:val="24"/>
                <w:szCs w:val="24"/>
              </w:rPr>
            </w:pPr>
            <w:r>
              <w:rPr>
                <w:rFonts w:hint="eastAsia" w:ascii="宋体" w:hAnsi="宋体" w:eastAsia="宋体" w:cs="宋体"/>
                <w:kern w:val="0"/>
                <w:sz w:val="20"/>
                <w:szCs w:val="20"/>
              </w:rPr>
              <w:t>（一）予以公开</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eastAsiaTheme="minorEastAsia"/>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eastAsiaTheme="minorEastAsia"/>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eastAsiaTheme="minorEastAsia"/>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eastAsiaTheme="minorEastAsia"/>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eastAsiaTheme="minorEastAsia"/>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89" w:type="dxa"/>
            <w:tcBorders>
              <w:top w:val="single" w:color="auto" w:sz="8" w:space="0"/>
              <w:left w:val="nil"/>
              <w:bottom w:val="single" w:color="auto" w:sz="8" w:space="0"/>
              <w:right w:val="single" w:color="auto" w:sz="8" w:space="0"/>
            </w:tcBorders>
            <w:tcMar>
              <w:top w:w="0" w:type="dxa"/>
              <w:left w:w="57" w:type="dxa"/>
              <w:bottom w:w="0" w:type="dxa"/>
              <w:right w:w="57" w:type="dxa"/>
            </w:tcMar>
            <w:vAlign w:val="top"/>
          </w:tcPr>
          <w:p>
            <w:pPr>
              <w:widowControl/>
              <w:jc w:val="center"/>
              <w:rPr>
                <w:rFonts w:ascii="宋体" w:hAnsi="宋体" w:cs="宋体" w:eastAsiaTheme="minorEastAsia"/>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cs="宋体"/>
                <w:kern w:val="0"/>
                <w:sz w:val="24"/>
                <w:szCs w:val="24"/>
              </w:rPr>
            </w:pPr>
          </w:p>
        </w:tc>
        <w:tc>
          <w:tcPr>
            <w:tcW w:w="4163"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cs="宋体"/>
                <w:kern w:val="0"/>
                <w:sz w:val="24"/>
                <w:szCs w:val="24"/>
              </w:rPr>
            </w:pPr>
            <w:r>
              <w:rPr>
                <w:rFonts w:hint="eastAsia" w:ascii="宋体" w:hAnsi="宋体" w:eastAsia="宋体" w:cs="宋体"/>
                <w:kern w:val="0"/>
                <w:sz w:val="20"/>
                <w:szCs w:val="20"/>
              </w:rPr>
              <w:t>（二）部分公开</w:t>
            </w:r>
            <w:r>
              <w:rPr>
                <w:rFonts w:hint="eastAsia" w:ascii="楷体" w:hAnsi="楷体" w:eastAsia="楷体" w:cs="宋体"/>
                <w:kern w:val="0"/>
                <w:sz w:val="20"/>
                <w:szCs w:val="20"/>
              </w:rPr>
              <w:t>（区分处理的，只计这一情形，不计其他情形）</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eastAsiaTheme="minorEastAsia"/>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eastAsiaTheme="minorEastAsia"/>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eastAsiaTheme="minorEastAsia"/>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eastAsiaTheme="minorEastAsia"/>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eastAsiaTheme="minorEastAsia"/>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jc w:val="center"/>
              <w:rPr>
                <w:rFonts w:ascii="宋体" w:hAnsi="宋体" w:cs="宋体" w:eastAsiaTheme="minorEastAsia"/>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cs="宋体"/>
                <w:kern w:val="0"/>
                <w:sz w:val="24"/>
                <w:szCs w:val="24"/>
              </w:rPr>
            </w:pPr>
          </w:p>
        </w:tc>
        <w:tc>
          <w:tcPr>
            <w:tcW w:w="943"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p>
            <w:pPr>
              <w:widowControl/>
              <w:jc w:val="left"/>
              <w:rPr>
                <w:rFonts w:ascii="宋体" w:hAnsi="宋体" w:cs="宋体"/>
                <w:kern w:val="0"/>
                <w:sz w:val="24"/>
                <w:szCs w:val="24"/>
              </w:rPr>
            </w:pPr>
            <w:r>
              <w:rPr>
                <w:rFonts w:hint="eastAsia" w:ascii="宋体" w:hAnsi="宋体" w:eastAsia="宋体" w:cs="宋体"/>
                <w:kern w:val="0"/>
                <w:sz w:val="20"/>
                <w:szCs w:val="20"/>
              </w:rPr>
              <w:t>（三）不予公开</w:t>
            </w: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cs="宋体"/>
                <w:kern w:val="0"/>
                <w:sz w:val="24"/>
                <w:szCs w:val="24"/>
              </w:rPr>
            </w:pPr>
            <w:r>
              <w:rPr>
                <w:rFonts w:hint="eastAsia" w:ascii="宋体" w:hAnsi="宋体" w:eastAsia="宋体" w:cs="宋体"/>
                <w:kern w:val="0"/>
                <w:sz w:val="20"/>
                <w:szCs w:val="20"/>
              </w:rPr>
              <w:t>1.属于国家秘密</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eastAsiaTheme="minorEastAsia"/>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eastAsiaTheme="minorEastAsia"/>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eastAsiaTheme="minorEastAsia"/>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eastAsiaTheme="minorEastAsia"/>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eastAsiaTheme="minorEastAsia"/>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89" w:type="dxa"/>
            <w:tcBorders>
              <w:top w:val="single" w:color="auto" w:sz="8" w:space="0"/>
              <w:left w:val="nil"/>
              <w:bottom w:val="single" w:color="auto" w:sz="8" w:space="0"/>
              <w:right w:val="single" w:color="auto" w:sz="8" w:space="0"/>
            </w:tcBorders>
            <w:tcMar>
              <w:top w:w="0" w:type="dxa"/>
              <w:left w:w="57" w:type="dxa"/>
              <w:bottom w:w="0" w:type="dxa"/>
              <w:right w:w="57" w:type="dxa"/>
            </w:tcMar>
            <w:vAlign w:val="top"/>
          </w:tcPr>
          <w:p>
            <w:pPr>
              <w:widowControl/>
              <w:jc w:val="center"/>
              <w:rPr>
                <w:rFonts w:ascii="宋体" w:hAnsi="宋体" w:cs="宋体" w:eastAsiaTheme="minorEastAsia"/>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pPr>
              <w:widowControl/>
              <w:jc w:val="left"/>
              <w:rPr>
                <w:rFonts w:ascii="宋体" w:hAnsi="宋体" w:cs="宋体"/>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cs="宋体"/>
                <w:kern w:val="0"/>
                <w:sz w:val="24"/>
                <w:szCs w:val="24"/>
              </w:rPr>
            </w:pPr>
            <w:r>
              <w:rPr>
                <w:rFonts w:hint="eastAsia" w:ascii="宋体" w:hAnsi="宋体" w:eastAsia="宋体" w:cs="宋体"/>
                <w:kern w:val="0"/>
                <w:sz w:val="20"/>
                <w:szCs w:val="20"/>
              </w:rPr>
              <w:t>2.其他法律行政法规禁止公开</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eastAsiaTheme="minorEastAsia"/>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eastAsiaTheme="minorEastAsia"/>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eastAsiaTheme="minorEastAsia"/>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eastAsiaTheme="minorEastAsia"/>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eastAsiaTheme="minorEastAsia"/>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jc w:val="center"/>
              <w:rPr>
                <w:rFonts w:ascii="宋体" w:hAnsi="宋体" w:cs="宋体" w:eastAsiaTheme="minorEastAsia"/>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pPr>
              <w:widowControl/>
              <w:jc w:val="left"/>
              <w:rPr>
                <w:rFonts w:ascii="宋体" w:hAnsi="宋体" w:cs="宋体"/>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cs="宋体"/>
                <w:kern w:val="0"/>
                <w:sz w:val="24"/>
                <w:szCs w:val="24"/>
              </w:rPr>
            </w:pPr>
            <w:r>
              <w:rPr>
                <w:rFonts w:hint="eastAsia" w:ascii="宋体" w:hAnsi="宋体" w:eastAsia="宋体" w:cs="宋体"/>
                <w:kern w:val="0"/>
                <w:sz w:val="20"/>
                <w:szCs w:val="20"/>
              </w:rPr>
              <w:t>3.危及“三安全一稳定”</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eastAsiaTheme="minorEastAsia"/>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eastAsiaTheme="minorEastAsia"/>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eastAsiaTheme="minorEastAsia"/>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eastAsiaTheme="minorEastAsia"/>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eastAsiaTheme="minorEastAsia"/>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jc w:val="center"/>
              <w:rPr>
                <w:rFonts w:ascii="宋体" w:hAnsi="宋体" w:cs="宋体" w:eastAsiaTheme="minorEastAsia"/>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pPr>
              <w:widowControl/>
              <w:jc w:val="left"/>
              <w:rPr>
                <w:rFonts w:ascii="宋体" w:hAnsi="宋体" w:cs="宋体"/>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cs="宋体"/>
                <w:kern w:val="0"/>
                <w:sz w:val="24"/>
                <w:szCs w:val="24"/>
              </w:rPr>
            </w:pPr>
            <w:r>
              <w:rPr>
                <w:rFonts w:hint="eastAsia" w:ascii="宋体" w:hAnsi="宋体" w:eastAsia="宋体" w:cs="宋体"/>
                <w:kern w:val="0"/>
                <w:sz w:val="20"/>
                <w:szCs w:val="20"/>
              </w:rPr>
              <w:t>4.保护第三方合法权益</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eastAsiaTheme="minorEastAsia"/>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eastAsiaTheme="minorEastAsia"/>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eastAsiaTheme="minorEastAsia"/>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eastAsiaTheme="minorEastAsia"/>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eastAsiaTheme="minorEastAsia"/>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jc w:val="center"/>
              <w:rPr>
                <w:rFonts w:ascii="宋体" w:hAnsi="宋体" w:cs="宋体" w:eastAsiaTheme="minorEastAsia"/>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pPr>
              <w:widowControl/>
              <w:jc w:val="left"/>
              <w:rPr>
                <w:rFonts w:ascii="宋体" w:hAnsi="宋体" w:cs="宋体"/>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cs="宋体"/>
                <w:kern w:val="0"/>
                <w:sz w:val="24"/>
                <w:szCs w:val="24"/>
              </w:rPr>
            </w:pPr>
            <w:r>
              <w:rPr>
                <w:rFonts w:hint="eastAsia" w:ascii="宋体" w:hAnsi="宋体" w:eastAsia="宋体" w:cs="宋体"/>
                <w:kern w:val="0"/>
                <w:sz w:val="20"/>
                <w:szCs w:val="20"/>
              </w:rPr>
              <w:t>5.属于三类内部事务信息</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eastAsiaTheme="minorEastAsia"/>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eastAsiaTheme="minorEastAsia"/>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eastAsiaTheme="minorEastAsia"/>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eastAsiaTheme="minorEastAsia"/>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eastAsiaTheme="minorEastAsia"/>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jc w:val="center"/>
              <w:rPr>
                <w:rFonts w:ascii="宋体" w:hAnsi="宋体" w:cs="宋体" w:eastAsiaTheme="minorEastAsia"/>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pPr>
              <w:widowControl/>
              <w:jc w:val="left"/>
              <w:rPr>
                <w:rFonts w:ascii="宋体" w:hAnsi="宋体" w:cs="宋体"/>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cs="宋体"/>
                <w:kern w:val="0"/>
                <w:sz w:val="24"/>
                <w:szCs w:val="24"/>
              </w:rPr>
            </w:pPr>
            <w:r>
              <w:rPr>
                <w:rFonts w:hint="eastAsia" w:ascii="宋体" w:hAnsi="宋体" w:eastAsia="宋体" w:cs="宋体"/>
                <w:kern w:val="0"/>
                <w:sz w:val="20"/>
                <w:szCs w:val="20"/>
              </w:rPr>
              <w:t>6.属于四类过程性信息</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eastAsiaTheme="minorEastAsia"/>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eastAsiaTheme="minorEastAsia"/>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eastAsiaTheme="minorEastAsia"/>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eastAsiaTheme="minorEastAsia"/>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eastAsiaTheme="minorEastAsia"/>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jc w:val="center"/>
              <w:rPr>
                <w:rFonts w:ascii="宋体" w:hAnsi="宋体" w:cs="宋体" w:eastAsiaTheme="minorEastAsia"/>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pPr>
              <w:widowControl/>
              <w:jc w:val="left"/>
              <w:rPr>
                <w:rFonts w:ascii="宋体" w:hAnsi="宋体" w:cs="宋体"/>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cs="宋体"/>
                <w:kern w:val="0"/>
                <w:sz w:val="24"/>
                <w:szCs w:val="24"/>
              </w:rPr>
            </w:pPr>
            <w:r>
              <w:rPr>
                <w:rFonts w:hint="eastAsia" w:ascii="宋体" w:hAnsi="宋体" w:eastAsia="宋体" w:cs="宋体"/>
                <w:kern w:val="0"/>
                <w:sz w:val="20"/>
                <w:szCs w:val="20"/>
              </w:rPr>
              <w:t>7.属于行政执法案卷</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eastAsiaTheme="minorEastAsia"/>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eastAsiaTheme="minorEastAsia"/>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eastAsiaTheme="minorEastAsia"/>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eastAsiaTheme="minorEastAsia"/>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eastAsiaTheme="minorEastAsia"/>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jc w:val="center"/>
              <w:rPr>
                <w:rFonts w:ascii="宋体" w:hAnsi="宋体" w:cs="宋体" w:eastAsiaTheme="minorEastAsia"/>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pPr>
              <w:widowControl/>
              <w:jc w:val="left"/>
              <w:rPr>
                <w:rFonts w:ascii="宋体" w:hAnsi="宋体" w:cs="宋体"/>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cs="宋体"/>
                <w:kern w:val="0"/>
                <w:sz w:val="24"/>
                <w:szCs w:val="24"/>
              </w:rPr>
            </w:pPr>
            <w:r>
              <w:rPr>
                <w:rFonts w:hint="eastAsia" w:ascii="宋体" w:hAnsi="宋体" w:eastAsia="宋体" w:cs="宋体"/>
                <w:kern w:val="0"/>
                <w:sz w:val="20"/>
                <w:szCs w:val="20"/>
              </w:rPr>
              <w:t>8.属于行政查询事项</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eastAsiaTheme="minorEastAsia"/>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eastAsiaTheme="minorEastAsia"/>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eastAsiaTheme="minorEastAsia"/>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eastAsiaTheme="minorEastAsia"/>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eastAsiaTheme="minorEastAsia"/>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jc w:val="center"/>
              <w:rPr>
                <w:rFonts w:ascii="宋体" w:hAnsi="宋体" w:cs="宋体" w:eastAsiaTheme="minorEastAsia"/>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cs="宋体"/>
                <w:kern w:val="0"/>
                <w:sz w:val="24"/>
                <w:szCs w:val="24"/>
              </w:rPr>
            </w:pPr>
          </w:p>
        </w:tc>
        <w:tc>
          <w:tcPr>
            <w:tcW w:w="943"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p>
            <w:pPr>
              <w:widowControl/>
              <w:jc w:val="left"/>
              <w:rPr>
                <w:rFonts w:ascii="宋体" w:hAnsi="宋体" w:cs="宋体"/>
                <w:kern w:val="0"/>
                <w:sz w:val="24"/>
                <w:szCs w:val="24"/>
              </w:rPr>
            </w:pPr>
            <w:r>
              <w:rPr>
                <w:rFonts w:hint="eastAsia" w:ascii="宋体" w:hAnsi="宋体" w:eastAsia="宋体" w:cs="宋体"/>
                <w:kern w:val="0"/>
                <w:sz w:val="20"/>
                <w:szCs w:val="20"/>
              </w:rPr>
              <w:t>（四）无法提供</w:t>
            </w: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cs="宋体"/>
                <w:kern w:val="0"/>
                <w:sz w:val="24"/>
                <w:szCs w:val="24"/>
              </w:rPr>
            </w:pPr>
            <w:r>
              <w:rPr>
                <w:rFonts w:hint="eastAsia" w:ascii="宋体" w:hAnsi="宋体" w:eastAsia="宋体" w:cs="宋体"/>
                <w:kern w:val="0"/>
                <w:sz w:val="20"/>
                <w:szCs w:val="20"/>
              </w:rPr>
              <w:t>1.本机关不掌握相关政府信息</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eastAsiaTheme="minorEastAsia"/>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eastAsiaTheme="minorEastAsia"/>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eastAsiaTheme="minorEastAsia"/>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eastAsiaTheme="minorEastAsia"/>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eastAsiaTheme="minorEastAsia"/>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jc w:val="center"/>
              <w:rPr>
                <w:rFonts w:ascii="宋体" w:hAnsi="宋体" w:cs="宋体" w:eastAsiaTheme="minorEastAsia"/>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pPr>
              <w:widowControl/>
              <w:jc w:val="left"/>
              <w:rPr>
                <w:rFonts w:ascii="宋体" w:hAnsi="宋体" w:cs="宋体"/>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cs="宋体"/>
                <w:kern w:val="0"/>
                <w:sz w:val="24"/>
                <w:szCs w:val="24"/>
              </w:rPr>
            </w:pPr>
            <w:r>
              <w:rPr>
                <w:rFonts w:hint="eastAsia" w:ascii="宋体" w:hAnsi="宋体" w:eastAsia="宋体" w:cs="宋体"/>
                <w:kern w:val="0"/>
                <w:sz w:val="20"/>
                <w:szCs w:val="20"/>
              </w:rPr>
              <w:t>2.没有现成信息需要另行制作</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eastAsiaTheme="minorEastAsia"/>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eastAsiaTheme="minorEastAsia"/>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eastAsiaTheme="minorEastAsia"/>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eastAsiaTheme="minorEastAsia"/>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eastAsiaTheme="minorEastAsia"/>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jc w:val="center"/>
              <w:rPr>
                <w:rFonts w:ascii="宋体" w:hAnsi="宋体" w:cs="宋体" w:eastAsiaTheme="minorEastAsia"/>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pPr>
              <w:widowControl/>
              <w:jc w:val="left"/>
              <w:rPr>
                <w:rFonts w:ascii="宋体" w:hAnsi="宋体" w:cs="宋体"/>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cs="宋体"/>
                <w:kern w:val="0"/>
                <w:sz w:val="24"/>
                <w:szCs w:val="24"/>
              </w:rPr>
            </w:pPr>
            <w:r>
              <w:rPr>
                <w:rFonts w:hint="eastAsia" w:ascii="宋体" w:hAnsi="宋体" w:eastAsia="宋体" w:cs="宋体"/>
                <w:kern w:val="0"/>
                <w:sz w:val="20"/>
                <w:szCs w:val="20"/>
              </w:rPr>
              <w:t>3.补正后申请内容仍不明确</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eastAsiaTheme="minorEastAsia"/>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eastAsiaTheme="minorEastAsia"/>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eastAsiaTheme="minorEastAsia"/>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eastAsiaTheme="minorEastAsia"/>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eastAsiaTheme="minorEastAsia"/>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jc w:val="center"/>
              <w:rPr>
                <w:rFonts w:ascii="宋体" w:hAnsi="宋体" w:cs="宋体" w:eastAsiaTheme="minorEastAsia"/>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cs="宋体"/>
                <w:kern w:val="0"/>
                <w:sz w:val="24"/>
                <w:szCs w:val="24"/>
              </w:rPr>
            </w:pPr>
          </w:p>
        </w:tc>
        <w:tc>
          <w:tcPr>
            <w:tcW w:w="943"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p>
            <w:pPr>
              <w:widowControl/>
              <w:jc w:val="left"/>
              <w:rPr>
                <w:rFonts w:ascii="宋体" w:hAnsi="宋体" w:cs="宋体"/>
                <w:kern w:val="0"/>
                <w:sz w:val="24"/>
                <w:szCs w:val="24"/>
              </w:rPr>
            </w:pPr>
            <w:r>
              <w:rPr>
                <w:rFonts w:hint="eastAsia" w:ascii="宋体" w:hAnsi="宋体" w:eastAsia="宋体" w:cs="宋体"/>
                <w:kern w:val="0"/>
                <w:sz w:val="20"/>
                <w:szCs w:val="20"/>
              </w:rPr>
              <w:t>（五）不予处理</w:t>
            </w: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cs="宋体"/>
                <w:kern w:val="0"/>
                <w:sz w:val="24"/>
                <w:szCs w:val="24"/>
              </w:rPr>
            </w:pPr>
            <w:r>
              <w:rPr>
                <w:rFonts w:hint="eastAsia" w:ascii="宋体" w:hAnsi="宋体" w:eastAsia="宋体" w:cs="宋体"/>
                <w:kern w:val="0"/>
                <w:sz w:val="20"/>
                <w:szCs w:val="20"/>
              </w:rPr>
              <w:t>1.信访举报投诉类申请</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eastAsiaTheme="minorEastAsia"/>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eastAsiaTheme="minorEastAsia"/>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eastAsiaTheme="minorEastAsia"/>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eastAsiaTheme="minorEastAsia"/>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eastAsiaTheme="minorEastAsia"/>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jc w:val="center"/>
              <w:rPr>
                <w:rFonts w:ascii="宋体" w:hAnsi="宋体" w:cs="宋体" w:eastAsiaTheme="minorEastAsia"/>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pPr>
              <w:widowControl/>
              <w:jc w:val="left"/>
              <w:rPr>
                <w:rFonts w:ascii="宋体" w:hAnsi="宋体" w:cs="宋体"/>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cs="宋体"/>
                <w:kern w:val="0"/>
                <w:sz w:val="24"/>
                <w:szCs w:val="24"/>
              </w:rPr>
            </w:pPr>
            <w:r>
              <w:rPr>
                <w:rFonts w:hint="eastAsia" w:ascii="宋体" w:hAnsi="宋体" w:eastAsia="宋体" w:cs="宋体"/>
                <w:kern w:val="0"/>
                <w:sz w:val="20"/>
                <w:szCs w:val="20"/>
              </w:rPr>
              <w:t>2.重复申请</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eastAsiaTheme="minorEastAsia"/>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eastAsiaTheme="minorEastAsia"/>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eastAsiaTheme="minorEastAsia"/>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eastAsiaTheme="minorEastAsia"/>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eastAsiaTheme="minorEastAsia"/>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jc w:val="center"/>
              <w:rPr>
                <w:rFonts w:ascii="宋体" w:hAnsi="宋体" w:cs="宋体" w:eastAsiaTheme="minorEastAsia"/>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pPr>
              <w:widowControl/>
              <w:jc w:val="left"/>
              <w:rPr>
                <w:rFonts w:ascii="宋体" w:hAnsi="宋体" w:cs="宋体"/>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cs="宋体"/>
                <w:kern w:val="0"/>
                <w:sz w:val="24"/>
                <w:szCs w:val="24"/>
              </w:rPr>
            </w:pPr>
            <w:r>
              <w:rPr>
                <w:rFonts w:hint="eastAsia" w:ascii="宋体" w:hAnsi="宋体" w:eastAsia="宋体" w:cs="宋体"/>
                <w:kern w:val="0"/>
                <w:sz w:val="20"/>
                <w:szCs w:val="20"/>
              </w:rPr>
              <w:t>3.要求提供公开出版物</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eastAsiaTheme="minorEastAsia"/>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eastAsiaTheme="minorEastAsia"/>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eastAsiaTheme="minorEastAsia"/>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eastAsiaTheme="minorEastAsia"/>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eastAsiaTheme="minorEastAsia"/>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jc w:val="center"/>
              <w:rPr>
                <w:rFonts w:ascii="宋体" w:hAnsi="宋体" w:cs="宋体" w:eastAsiaTheme="minorEastAsia"/>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pPr>
              <w:widowControl/>
              <w:jc w:val="left"/>
              <w:rPr>
                <w:rFonts w:ascii="宋体" w:hAnsi="宋体" w:cs="宋体"/>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cs="宋体"/>
                <w:kern w:val="0"/>
                <w:sz w:val="24"/>
                <w:szCs w:val="24"/>
              </w:rPr>
            </w:pPr>
            <w:r>
              <w:rPr>
                <w:rFonts w:hint="eastAsia" w:ascii="宋体" w:hAnsi="宋体" w:eastAsia="宋体" w:cs="宋体"/>
                <w:kern w:val="0"/>
                <w:sz w:val="20"/>
                <w:szCs w:val="20"/>
              </w:rPr>
              <w:t>4.无正当理由大量反复申请</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eastAsiaTheme="minorEastAsia"/>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eastAsiaTheme="minorEastAsia"/>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eastAsiaTheme="minorEastAsia"/>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eastAsiaTheme="minorEastAsia"/>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eastAsiaTheme="minorEastAsia"/>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jc w:val="center"/>
              <w:rPr>
                <w:rFonts w:ascii="宋体" w:hAnsi="宋体" w:cs="宋体" w:eastAsiaTheme="minorEastAsia"/>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r>
      <w:tr>
        <w:tblPrEx>
          <w:tblCellMar>
            <w:top w:w="0" w:type="dxa"/>
            <w:left w:w="0" w:type="dxa"/>
            <w:bottom w:w="0" w:type="dxa"/>
            <w:right w:w="0" w:type="dxa"/>
          </w:tblCellMar>
        </w:tblPrEx>
        <w:trPr>
          <w:trHeight w:val="779" w:hRule="atLeast"/>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pPr>
              <w:widowControl/>
              <w:jc w:val="left"/>
              <w:rPr>
                <w:rFonts w:ascii="宋体" w:hAnsi="宋体" w:cs="宋体"/>
                <w:kern w:val="0"/>
                <w:sz w:val="24"/>
                <w:szCs w:val="24"/>
              </w:rPr>
            </w:pPr>
          </w:p>
        </w:tc>
        <w:tc>
          <w:tcPr>
            <w:tcW w:w="3220" w:type="dxa"/>
            <w:tcBorders>
              <w:top w:val="nil"/>
              <w:left w:val="nil"/>
              <w:bottom w:val="inset" w:color="auto" w:sz="8" w:space="0"/>
              <w:right w:val="single" w:color="auto" w:sz="8" w:space="0"/>
            </w:tcBorders>
            <w:tcMar>
              <w:top w:w="0" w:type="dxa"/>
              <w:left w:w="57" w:type="dxa"/>
              <w:bottom w:w="0" w:type="dxa"/>
              <w:right w:w="57" w:type="dxa"/>
            </w:tcMar>
            <w:vAlign w:val="center"/>
          </w:tcPr>
          <w:p>
            <w:pPr>
              <w:widowControl/>
              <w:rPr>
                <w:rFonts w:ascii="宋体" w:hAnsi="宋体" w:cs="宋体"/>
                <w:kern w:val="0"/>
                <w:sz w:val="24"/>
                <w:szCs w:val="24"/>
              </w:rPr>
            </w:pPr>
            <w:r>
              <w:rPr>
                <w:rFonts w:hint="eastAsia" w:ascii="宋体" w:hAnsi="宋体" w:eastAsia="宋体" w:cs="宋体"/>
                <w:kern w:val="0"/>
                <w:sz w:val="20"/>
                <w:szCs w:val="20"/>
              </w:rPr>
              <w:t>5.要求行政机关确认或重新出具已获取信息</w:t>
            </w:r>
          </w:p>
        </w:tc>
        <w:tc>
          <w:tcPr>
            <w:tcW w:w="688" w:type="dxa"/>
            <w:tcBorders>
              <w:top w:val="nil"/>
              <w:left w:val="nil"/>
              <w:bottom w:val="inset"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eastAsiaTheme="minorEastAsia"/>
                <w:kern w:val="0"/>
                <w:sz w:val="24"/>
                <w:szCs w:val="24"/>
                <w:lang w:val="en-US" w:eastAsia="zh-CN" w:bidi="ar-SA"/>
              </w:rPr>
            </w:pPr>
            <w:r>
              <w:rPr>
                <w:rFonts w:hint="eastAsia" w:ascii="Calibri" w:hAnsi="Calibri" w:eastAsia="宋体" w:cs="宋体"/>
                <w:kern w:val="0"/>
                <w:sz w:val="20"/>
                <w:szCs w:val="20"/>
                <w:lang w:val="en-US" w:eastAsia="zh-CN"/>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eastAsiaTheme="minorEastAsia"/>
                <w:kern w:val="0"/>
                <w:sz w:val="24"/>
                <w:szCs w:val="24"/>
                <w:lang w:val="en-US" w:eastAsia="zh-CN" w:bidi="ar-SA"/>
              </w:rPr>
            </w:pPr>
            <w:r>
              <w:rPr>
                <w:rFonts w:hint="eastAsia" w:ascii="Calibri" w:hAnsi="Calibri" w:eastAsia="宋体" w:cs="宋体"/>
                <w:kern w:val="0"/>
                <w:sz w:val="20"/>
                <w:szCs w:val="20"/>
                <w:lang w:val="en-US" w:eastAsia="zh-CN"/>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eastAsiaTheme="minorEastAsia"/>
                <w:kern w:val="0"/>
                <w:sz w:val="24"/>
                <w:szCs w:val="24"/>
                <w:lang w:val="en-US" w:eastAsia="zh-CN" w:bidi="ar-SA"/>
              </w:rPr>
            </w:pPr>
            <w:r>
              <w:rPr>
                <w:rFonts w:hint="eastAsia" w:ascii="Calibri" w:hAnsi="Calibri" w:eastAsia="宋体" w:cs="宋体"/>
                <w:kern w:val="0"/>
                <w:sz w:val="20"/>
                <w:szCs w:val="20"/>
                <w:lang w:val="en-US" w:eastAsia="zh-CN"/>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eastAsiaTheme="minorEastAsia"/>
                <w:kern w:val="0"/>
                <w:sz w:val="24"/>
                <w:szCs w:val="24"/>
                <w:lang w:val="en-US" w:eastAsia="zh-CN" w:bidi="ar-SA"/>
              </w:rPr>
            </w:pPr>
            <w:r>
              <w:rPr>
                <w:rFonts w:hint="eastAsia" w:ascii="Calibri" w:hAnsi="Calibri" w:eastAsia="宋体" w:cs="宋体"/>
                <w:kern w:val="0"/>
                <w:sz w:val="20"/>
                <w:szCs w:val="20"/>
                <w:lang w:val="en-US" w:eastAsia="zh-CN"/>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eastAsiaTheme="minorEastAsia"/>
                <w:kern w:val="0"/>
                <w:sz w:val="24"/>
                <w:szCs w:val="24"/>
                <w:lang w:val="en-US" w:eastAsia="zh-CN" w:bidi="ar-SA"/>
              </w:rPr>
            </w:pPr>
            <w:r>
              <w:rPr>
                <w:rFonts w:hint="eastAsia" w:ascii="Calibri" w:hAnsi="Calibri" w:eastAsia="宋体" w:cs="宋体"/>
                <w:kern w:val="0"/>
                <w:sz w:val="20"/>
                <w:szCs w:val="20"/>
                <w:lang w:val="en-US" w:eastAsia="zh-CN"/>
              </w:rPr>
              <w:t>0</w:t>
            </w:r>
          </w:p>
        </w:tc>
        <w:tc>
          <w:tcPr>
            <w:tcW w:w="689" w:type="dxa"/>
            <w:tcBorders>
              <w:top w:val="nil"/>
              <w:left w:val="nil"/>
              <w:bottom w:val="inset"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eastAsiaTheme="minorEastAsia"/>
                <w:kern w:val="0"/>
                <w:sz w:val="24"/>
                <w:szCs w:val="24"/>
                <w:lang w:val="en-US" w:eastAsia="zh-CN" w:bidi="ar-SA"/>
              </w:rPr>
            </w:pPr>
            <w:r>
              <w:rPr>
                <w:rFonts w:hint="eastAsia" w:ascii="Calibri" w:hAnsi="Calibri" w:eastAsia="宋体" w:cs="宋体"/>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cs="宋体"/>
                <w:kern w:val="0"/>
                <w:sz w:val="24"/>
                <w:szCs w:val="24"/>
              </w:rPr>
            </w:pPr>
          </w:p>
        </w:tc>
        <w:tc>
          <w:tcPr>
            <w:tcW w:w="943" w:type="dxa"/>
            <w:vMerge w:val="restart"/>
            <w:tcBorders>
              <w:top w:val="inset" w:color="auto" w:sz="8" w:space="0"/>
              <w:left w:val="nil"/>
              <w:bottom w:val="inset" w:color="auto" w:sz="8" w:space="0"/>
              <w:right w:val="single" w:color="auto" w:sz="8" w:space="0"/>
            </w:tcBorders>
            <w:tcMar>
              <w:top w:w="0" w:type="dxa"/>
              <w:left w:w="57" w:type="dxa"/>
              <w:bottom w:w="0" w:type="dxa"/>
              <w:right w:w="57" w:type="dxa"/>
            </w:tcMar>
            <w:vAlign w:val="center"/>
          </w:tcPr>
          <w:p>
            <w:pPr>
              <w:widowControl/>
              <w:jc w:val="left"/>
              <w:rPr>
                <w:rFonts w:ascii="宋体" w:hAnsi="宋体" w:cs="宋体"/>
                <w:kern w:val="0"/>
                <w:sz w:val="24"/>
                <w:szCs w:val="24"/>
              </w:rPr>
            </w:pPr>
            <w:r>
              <w:rPr>
                <w:rFonts w:hint="eastAsia" w:ascii="宋体" w:hAnsi="宋体" w:eastAsia="宋体" w:cs="宋体"/>
                <w:kern w:val="0"/>
                <w:sz w:val="20"/>
                <w:szCs w:val="20"/>
              </w:rPr>
              <w:t>（六）其他处理</w:t>
            </w:r>
          </w:p>
        </w:tc>
        <w:tc>
          <w:tcPr>
            <w:tcW w:w="322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rPr>
                <w:rFonts w:ascii="宋体" w:hAnsi="宋体" w:cs="宋体"/>
                <w:kern w:val="0"/>
                <w:sz w:val="24"/>
                <w:szCs w:val="24"/>
              </w:rPr>
            </w:pPr>
            <w:r>
              <w:rPr>
                <w:rFonts w:hint="eastAsia" w:ascii="宋体" w:hAnsi="宋体" w:eastAsia="宋体" w:cs="宋体"/>
                <w:kern w:val="0"/>
                <w:sz w:val="20"/>
                <w:szCs w:val="20"/>
              </w:rPr>
              <w:t>1.申请人无正当理由逾期不补正、行政机关不再处理其政府信息公开申请</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eastAsiaTheme="minorEastAsia"/>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eastAsiaTheme="minorEastAsia"/>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eastAsiaTheme="minorEastAsia"/>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eastAsiaTheme="minorEastAsia"/>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eastAsiaTheme="minorEastAsia"/>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eastAsiaTheme="minorEastAsia"/>
                <w:kern w:val="0"/>
                <w:sz w:val="24"/>
                <w:szCs w:val="24"/>
                <w:lang w:val="en-US" w:eastAsia="zh-CN" w:bidi="ar-SA"/>
              </w:rPr>
            </w:pPr>
            <w:r>
              <w:rPr>
                <w:rFonts w:hint="eastAsia" w:ascii="Calibri" w:hAnsi="Calibri" w:eastAsia="宋体" w:cs="宋体"/>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cs="宋体"/>
                <w:kern w:val="0"/>
                <w:sz w:val="24"/>
                <w:szCs w:val="24"/>
              </w:rPr>
            </w:pPr>
          </w:p>
        </w:tc>
        <w:tc>
          <w:tcPr>
            <w:tcW w:w="0" w:type="auto"/>
            <w:vMerge w:val="continue"/>
            <w:tcBorders>
              <w:top w:val="inset" w:color="auto" w:sz="8" w:space="0"/>
              <w:left w:val="nil"/>
              <w:bottom w:val="inset" w:color="auto" w:sz="8" w:space="0"/>
              <w:right w:val="single" w:color="auto" w:sz="8" w:space="0"/>
            </w:tcBorders>
            <w:vAlign w:val="center"/>
          </w:tcPr>
          <w:p>
            <w:pPr>
              <w:widowControl/>
              <w:jc w:val="left"/>
              <w:rPr>
                <w:rFonts w:ascii="宋体" w:hAnsi="宋体" w:cs="宋体"/>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rPr>
                <w:rFonts w:ascii="宋体" w:hAnsi="宋体" w:cs="宋体"/>
                <w:kern w:val="0"/>
                <w:sz w:val="24"/>
                <w:szCs w:val="24"/>
              </w:rPr>
            </w:pPr>
            <w:r>
              <w:rPr>
                <w:rFonts w:hint="eastAsia" w:ascii="宋体" w:hAnsi="宋体" w:eastAsia="宋体" w:cs="宋体"/>
                <w:kern w:val="0"/>
                <w:sz w:val="20"/>
                <w:szCs w:val="20"/>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eastAsiaTheme="minorEastAsia"/>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eastAsiaTheme="minorEastAsia"/>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eastAsiaTheme="minorEastAsia"/>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eastAsiaTheme="minorEastAsia"/>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eastAsiaTheme="minorEastAsia"/>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eastAsiaTheme="minorEastAsia"/>
                <w:kern w:val="0"/>
                <w:sz w:val="24"/>
                <w:szCs w:val="24"/>
                <w:lang w:val="en-US" w:eastAsia="zh-CN" w:bidi="ar-SA"/>
              </w:rPr>
            </w:pPr>
            <w:r>
              <w:rPr>
                <w:rFonts w:hint="eastAsia" w:ascii="Calibri" w:hAnsi="Calibri" w:eastAsia="宋体" w:cs="宋体"/>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cs="宋体"/>
                <w:kern w:val="0"/>
                <w:sz w:val="24"/>
                <w:szCs w:val="24"/>
              </w:rPr>
            </w:pPr>
          </w:p>
        </w:tc>
        <w:tc>
          <w:tcPr>
            <w:tcW w:w="0" w:type="auto"/>
            <w:vMerge w:val="continue"/>
            <w:tcBorders>
              <w:top w:val="inset" w:color="auto" w:sz="8" w:space="0"/>
              <w:left w:val="nil"/>
              <w:bottom w:val="inset" w:color="auto" w:sz="8" w:space="0"/>
              <w:right w:val="single" w:color="auto" w:sz="8" w:space="0"/>
            </w:tcBorders>
            <w:vAlign w:val="center"/>
          </w:tcPr>
          <w:p>
            <w:pPr>
              <w:widowControl/>
              <w:jc w:val="left"/>
              <w:rPr>
                <w:rFonts w:ascii="宋体" w:hAnsi="宋体" w:cs="宋体"/>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cs="宋体"/>
                <w:kern w:val="0"/>
                <w:sz w:val="24"/>
                <w:szCs w:val="24"/>
              </w:rPr>
            </w:pPr>
            <w:r>
              <w:rPr>
                <w:rFonts w:hint="eastAsia" w:ascii="宋体" w:hAnsi="宋体" w:eastAsia="宋体" w:cs="宋体"/>
                <w:kern w:val="0"/>
                <w:sz w:val="20"/>
                <w:szCs w:val="20"/>
              </w:rPr>
              <w:t>3.其他</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eastAsiaTheme="minorEastAsia"/>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eastAsiaTheme="minorEastAsia"/>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eastAsiaTheme="minorEastAsia"/>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eastAsiaTheme="minorEastAsia"/>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eastAsiaTheme="minorEastAsia"/>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jc w:val="center"/>
              <w:rPr>
                <w:rFonts w:ascii="宋体" w:hAnsi="宋体" w:cs="宋体" w:eastAsiaTheme="minorEastAsia"/>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cs="宋体"/>
                <w:kern w:val="0"/>
                <w:sz w:val="24"/>
                <w:szCs w:val="24"/>
              </w:rPr>
            </w:pPr>
          </w:p>
        </w:tc>
        <w:tc>
          <w:tcPr>
            <w:tcW w:w="4163"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cs="宋体"/>
                <w:kern w:val="0"/>
                <w:sz w:val="24"/>
                <w:szCs w:val="24"/>
              </w:rPr>
            </w:pPr>
            <w:r>
              <w:rPr>
                <w:rFonts w:hint="eastAsia" w:ascii="宋体" w:hAnsi="宋体" w:eastAsia="宋体" w:cs="宋体"/>
                <w:kern w:val="0"/>
                <w:sz w:val="20"/>
                <w:szCs w:val="20"/>
              </w:rPr>
              <w:t>（七）总计</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eastAsiaTheme="minorEastAsia"/>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eastAsiaTheme="minorEastAsia"/>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eastAsiaTheme="minorEastAsia"/>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eastAsiaTheme="minorEastAsia"/>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eastAsiaTheme="minorEastAsia"/>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jc w:val="center"/>
              <w:rPr>
                <w:rFonts w:ascii="宋体" w:hAnsi="宋体" w:cs="宋体" w:eastAsiaTheme="minorEastAsia"/>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r>
      <w:tr>
        <w:tblPrEx>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cs="宋体"/>
                <w:kern w:val="0"/>
                <w:sz w:val="24"/>
                <w:szCs w:val="24"/>
              </w:rPr>
            </w:pPr>
            <w:r>
              <w:rPr>
                <w:rFonts w:hint="eastAsia" w:ascii="宋体" w:hAnsi="宋体" w:eastAsia="宋体" w:cs="宋体"/>
                <w:kern w:val="0"/>
                <w:sz w:val="20"/>
                <w:szCs w:val="20"/>
              </w:rPr>
              <w:t>四、结转下年度继续办理</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eastAsiaTheme="minorEastAsia"/>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eastAsiaTheme="minorEastAsia"/>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eastAsiaTheme="minorEastAsia"/>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eastAsiaTheme="minorEastAsia"/>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eastAsiaTheme="minorEastAsia"/>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jc w:val="center"/>
              <w:rPr>
                <w:rFonts w:ascii="宋体" w:hAnsi="宋体" w:cs="宋体" w:eastAsiaTheme="minorEastAsia"/>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r>
    </w:tbl>
    <w:p>
      <w:pPr>
        <w:widowControl/>
        <w:shd w:val="clear" w:color="auto" w:fill="FFFFFF"/>
        <w:jc w:val="center"/>
        <w:rPr>
          <w:rFonts w:ascii="宋体" w:hAnsi="宋体" w:cs="宋体"/>
          <w:kern w:val="0"/>
          <w:sz w:val="24"/>
          <w:szCs w:val="24"/>
        </w:rPr>
      </w:pPr>
    </w:p>
    <w:p>
      <w:pPr>
        <w:widowControl/>
        <w:shd w:val="clear" w:color="auto" w:fill="FFFFFF"/>
        <w:ind w:firstLine="643" w:firstLineChars="200"/>
        <w:rPr>
          <w:rFonts w:ascii="仿宋_GB2312" w:hAnsi="宋体" w:eastAsia="仿宋_GB2312" w:cs="宋体"/>
          <w:b/>
          <w:kern w:val="0"/>
          <w:sz w:val="32"/>
          <w:szCs w:val="32"/>
        </w:rPr>
      </w:pPr>
      <w:r>
        <w:rPr>
          <w:rFonts w:hint="eastAsia" w:ascii="仿宋_GB2312" w:hAnsi="宋体" w:eastAsia="仿宋_GB2312" w:cs="宋体"/>
          <w:b/>
          <w:kern w:val="0"/>
          <w:sz w:val="32"/>
          <w:szCs w:val="32"/>
        </w:rPr>
        <w:t>四、政府信息公开行政复议、行政诉讼情况</w:t>
      </w:r>
    </w:p>
    <w:tbl>
      <w:tblPr>
        <w:tblStyle w:val="6"/>
        <w:tblW w:w="9748" w:type="dxa"/>
        <w:jc w:val="center"/>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CellMar>
            <w:top w:w="0" w:type="dxa"/>
            <w:left w:w="0" w:type="dxa"/>
            <w:bottom w:w="0" w:type="dxa"/>
            <w:right w:w="0" w:type="dxa"/>
          </w:tblCellMar>
        </w:tblPrEx>
        <w:trPr>
          <w:jc w:val="center"/>
        </w:trPr>
        <w:tc>
          <w:tcPr>
            <w:tcW w:w="3245"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eastAsia="宋体" w:cs="宋体"/>
                <w:kern w:val="0"/>
                <w:sz w:val="20"/>
                <w:szCs w:val="20"/>
              </w:rPr>
              <w:t>行政复议</w:t>
            </w:r>
          </w:p>
        </w:tc>
        <w:tc>
          <w:tcPr>
            <w:tcW w:w="6503" w:type="dxa"/>
            <w:gridSpan w:val="10"/>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eastAsia="宋体" w:cs="宋体"/>
                <w:kern w:val="0"/>
                <w:sz w:val="20"/>
                <w:szCs w:val="20"/>
              </w:rPr>
              <w:t>行政诉讼</w:t>
            </w:r>
          </w:p>
        </w:tc>
      </w:tr>
      <w:tr>
        <w:tblPrEx>
          <w:tblCellMar>
            <w:top w:w="0" w:type="dxa"/>
            <w:left w:w="0" w:type="dxa"/>
            <w:bottom w:w="0" w:type="dxa"/>
            <w:right w:w="0" w:type="dxa"/>
          </w:tblCellMar>
        </w:tblPrEx>
        <w:trPr>
          <w:jc w:val="center"/>
        </w:trPr>
        <w:tc>
          <w:tcPr>
            <w:tcW w:w="649"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eastAsia="宋体" w:cs="宋体"/>
                <w:kern w:val="0"/>
                <w:sz w:val="20"/>
                <w:szCs w:val="20"/>
              </w:rPr>
              <w:t>结果维持</w:t>
            </w:r>
          </w:p>
        </w:tc>
        <w:tc>
          <w:tcPr>
            <w:tcW w:w="649"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eastAsia="宋体" w:cs="宋体"/>
                <w:kern w:val="0"/>
                <w:sz w:val="20"/>
                <w:szCs w:val="20"/>
              </w:rPr>
              <w:t>结果</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纠正</w:t>
            </w:r>
          </w:p>
        </w:tc>
        <w:tc>
          <w:tcPr>
            <w:tcW w:w="649"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eastAsia="宋体" w:cs="宋体"/>
                <w:kern w:val="0"/>
                <w:sz w:val="20"/>
                <w:szCs w:val="20"/>
              </w:rPr>
              <w:t>其他</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结果</w:t>
            </w:r>
          </w:p>
        </w:tc>
        <w:tc>
          <w:tcPr>
            <w:tcW w:w="649"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eastAsia="宋体" w:cs="宋体"/>
                <w:kern w:val="0"/>
                <w:sz w:val="20"/>
                <w:szCs w:val="20"/>
              </w:rPr>
              <w:t>尚未</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审结</w:t>
            </w:r>
          </w:p>
        </w:tc>
        <w:tc>
          <w:tcPr>
            <w:tcW w:w="649"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eastAsia="宋体" w:cs="宋体"/>
                <w:kern w:val="0"/>
                <w:sz w:val="20"/>
                <w:szCs w:val="20"/>
              </w:rPr>
              <w:t>总计</w:t>
            </w:r>
          </w:p>
        </w:tc>
        <w:tc>
          <w:tcPr>
            <w:tcW w:w="3248"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eastAsia="宋体" w:cs="宋体"/>
                <w:kern w:val="0"/>
                <w:sz w:val="20"/>
                <w:szCs w:val="20"/>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eastAsia="宋体" w:cs="宋体"/>
                <w:kern w:val="0"/>
                <w:sz w:val="20"/>
                <w:szCs w:val="20"/>
              </w:rPr>
              <w:t>复议后起诉</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 w:val="24"/>
                <w:szCs w:val="24"/>
              </w:rPr>
            </w:pPr>
          </w:p>
        </w:tc>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 w:val="24"/>
                <w:szCs w:val="24"/>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kern w:val="0"/>
                <w:sz w:val="24"/>
                <w:szCs w:val="24"/>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kern w:val="0"/>
                <w:sz w:val="24"/>
                <w:szCs w:val="24"/>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kern w:val="0"/>
                <w:sz w:val="24"/>
                <w:szCs w:val="24"/>
              </w:rPr>
            </w:pP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eastAsia="宋体" w:cs="宋体"/>
                <w:kern w:val="0"/>
                <w:sz w:val="20"/>
                <w:szCs w:val="20"/>
              </w:rPr>
              <w:t>结果</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维持</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eastAsia="宋体" w:cs="宋体"/>
                <w:kern w:val="0"/>
                <w:sz w:val="20"/>
                <w:szCs w:val="20"/>
              </w:rPr>
              <w:t>结果</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纠正</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eastAsia="宋体" w:cs="宋体"/>
                <w:kern w:val="0"/>
                <w:sz w:val="20"/>
                <w:szCs w:val="20"/>
              </w:rPr>
              <w:t>其他</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结果</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eastAsia="宋体" w:cs="宋体"/>
                <w:kern w:val="0"/>
                <w:sz w:val="20"/>
                <w:szCs w:val="20"/>
              </w:rPr>
              <w:t>尚未</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审结</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eastAsia="宋体" w:cs="宋体"/>
                <w:kern w:val="0"/>
                <w:sz w:val="20"/>
                <w:szCs w:val="20"/>
              </w:rPr>
              <w:t>总计</w:t>
            </w:r>
          </w:p>
        </w:tc>
        <w:tc>
          <w:tcPr>
            <w:tcW w:w="6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eastAsia="宋体" w:cs="宋体"/>
                <w:kern w:val="0"/>
                <w:sz w:val="20"/>
                <w:szCs w:val="20"/>
              </w:rPr>
              <w:t>结果</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维持</w:t>
            </w:r>
          </w:p>
        </w:tc>
        <w:tc>
          <w:tcPr>
            <w:tcW w:w="6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eastAsia="宋体" w:cs="宋体"/>
                <w:kern w:val="0"/>
                <w:sz w:val="20"/>
                <w:szCs w:val="20"/>
              </w:rPr>
              <w:t>结果</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纠正</w:t>
            </w:r>
          </w:p>
        </w:tc>
        <w:tc>
          <w:tcPr>
            <w:tcW w:w="6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eastAsia="宋体" w:cs="宋体"/>
                <w:kern w:val="0"/>
                <w:sz w:val="20"/>
                <w:szCs w:val="20"/>
              </w:rPr>
              <w:t>其他</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结果</w:t>
            </w:r>
          </w:p>
        </w:tc>
        <w:tc>
          <w:tcPr>
            <w:tcW w:w="6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eastAsia="宋体" w:cs="宋体"/>
                <w:kern w:val="0"/>
                <w:sz w:val="20"/>
                <w:szCs w:val="20"/>
              </w:rPr>
              <w:t>尚未</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审结</w:t>
            </w:r>
          </w:p>
        </w:tc>
        <w:tc>
          <w:tcPr>
            <w:tcW w:w="6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eastAsia="宋体" w:cs="宋体"/>
                <w:kern w:val="0"/>
                <w:sz w:val="20"/>
                <w:szCs w:val="20"/>
              </w:rPr>
              <w:t>总计</w:t>
            </w:r>
          </w:p>
        </w:tc>
      </w:tr>
      <w:tr>
        <w:tblPrEx>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eastAsiaTheme="minorEastAsia"/>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eastAsiaTheme="minorEastAsia"/>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eastAsiaTheme="minorEastAsia"/>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eastAsiaTheme="minorEastAsia"/>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eastAsiaTheme="minorEastAsia"/>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eastAsiaTheme="minorEastAsia"/>
                <w:kern w:val="0"/>
                <w:sz w:val="24"/>
                <w:szCs w:val="24"/>
                <w:lang w:val="en-US" w:eastAsia="zh-CN" w:bidi="ar-SA"/>
              </w:rPr>
            </w:pPr>
            <w:r>
              <w:rPr>
                <w:rFonts w:hint="eastAsia" w:ascii="Calibri" w:hAnsi="Calibri" w:eastAsia="宋体" w:cs="宋体"/>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eastAsiaTheme="minorEastAsia"/>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eastAsiaTheme="minorEastAsia"/>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5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eastAsiaTheme="minorEastAsia"/>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5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eastAsiaTheme="minorEastAsia"/>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5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eastAsiaTheme="minorEastAsia"/>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5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eastAsiaTheme="minorEastAsia"/>
                <w:kern w:val="0"/>
                <w:sz w:val="24"/>
                <w:szCs w:val="24"/>
                <w:lang w:val="en-US" w:eastAsia="zh-CN" w:bidi="ar-SA"/>
              </w:rPr>
            </w:pPr>
            <w:r>
              <w:rPr>
                <w:rFonts w:hint="eastAsia" w:ascii="Calibri" w:hAnsi="Calibri" w:eastAsia="宋体" w:cs="宋体"/>
                <w:kern w:val="0"/>
                <w:sz w:val="20"/>
                <w:szCs w:val="20"/>
                <w:lang w:val="en-US" w:eastAsia="zh-CN"/>
              </w:rPr>
              <w:t>0</w:t>
            </w:r>
          </w:p>
        </w:tc>
        <w:tc>
          <w:tcPr>
            <w:tcW w:w="65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ind w:firstLine="200" w:firstLineChars="100"/>
              <w:jc w:val="center"/>
              <w:rPr>
                <w:rFonts w:hint="eastAsia" w:ascii="宋体" w:hAnsi="宋体" w:cs="宋体" w:eastAsiaTheme="minorEastAsia"/>
                <w:kern w:val="0"/>
                <w:sz w:val="24"/>
                <w:szCs w:val="24"/>
                <w:lang w:val="en-US" w:eastAsia="zh-CN"/>
              </w:rPr>
            </w:pPr>
            <w:r>
              <w:rPr>
                <w:rFonts w:hint="eastAsia" w:ascii="Calibri" w:hAnsi="Calibri" w:eastAsia="宋体" w:cs="宋体"/>
                <w:kern w:val="0"/>
                <w:sz w:val="20"/>
                <w:szCs w:val="20"/>
                <w:lang w:val="en-US" w:eastAsia="zh-CN"/>
              </w:rPr>
              <w:t>0</w:t>
            </w:r>
          </w:p>
        </w:tc>
      </w:tr>
    </w:tbl>
    <w:p>
      <w:pPr>
        <w:widowControl/>
        <w:ind w:firstLine="643" w:firstLineChars="200"/>
        <w:jc w:val="left"/>
        <w:rPr>
          <w:rFonts w:ascii="仿宋_GB2312" w:hAnsi="宋体" w:eastAsia="仿宋_GB2312" w:cs="宋体"/>
          <w:b/>
          <w:kern w:val="0"/>
          <w:sz w:val="32"/>
          <w:szCs w:val="32"/>
        </w:rPr>
      </w:pPr>
      <w:r>
        <w:rPr>
          <w:rFonts w:hint="eastAsia" w:ascii="仿宋_GB2312" w:hAnsi="宋体" w:eastAsia="仿宋_GB2312" w:cs="宋体"/>
          <w:b/>
          <w:kern w:val="0"/>
          <w:sz w:val="32"/>
          <w:szCs w:val="32"/>
        </w:rPr>
        <w:t>五、存在的主要问题及改进情况</w:t>
      </w:r>
    </w:p>
    <w:p>
      <w:pPr>
        <w:widowControl/>
        <w:jc w:val="left"/>
        <w:rPr>
          <w:rFonts w:ascii="仿宋_GB2312" w:hAnsi="宋体" w:eastAsia="仿宋_GB2312" w:cs="宋体"/>
          <w:b/>
          <w:kern w:val="0"/>
          <w:sz w:val="32"/>
          <w:szCs w:val="32"/>
        </w:rPr>
      </w:pPr>
      <w:r>
        <w:rPr>
          <w:rFonts w:hint="eastAsia" w:ascii="仿宋_GB2312" w:hAnsi="宋体" w:eastAsia="仿宋_GB2312" w:cs="宋体"/>
          <w:b/>
          <w:kern w:val="0"/>
          <w:sz w:val="32"/>
          <w:szCs w:val="32"/>
        </w:rPr>
        <w:t xml:space="preserve">    </w:t>
      </w:r>
      <w:r>
        <w:rPr>
          <w:rFonts w:hint="eastAsia" w:ascii="仿宋_GB2312" w:eastAsia="仿宋_GB2312"/>
          <w:sz w:val="32"/>
          <w:szCs w:val="32"/>
          <w:shd w:val="clear" w:color="auto" w:fill="FFFFFF"/>
        </w:rPr>
        <w:t>2021年，</w:t>
      </w:r>
      <w:r>
        <w:rPr>
          <w:rFonts w:hint="eastAsia" w:ascii="仿宋_GB2312" w:eastAsia="仿宋_GB2312"/>
          <w:sz w:val="32"/>
          <w:szCs w:val="32"/>
          <w:shd w:val="clear" w:color="auto" w:fill="FFFFFF"/>
          <w:lang w:eastAsia="zh-CN"/>
        </w:rPr>
        <w:t>贵州省气象部门</w:t>
      </w:r>
      <w:r>
        <w:rPr>
          <w:rFonts w:hint="eastAsia" w:ascii="仿宋_GB2312" w:eastAsia="仿宋_GB2312"/>
          <w:sz w:val="32"/>
          <w:szCs w:val="32"/>
          <w:shd w:val="clear" w:color="auto" w:fill="FFFFFF"/>
        </w:rPr>
        <w:t>政府信息公开工作虽然取得了一定成绩，但仍然存在一些问题，主要表现在信息公开的载体和形式有待进一步丰富和完善。贵州省气象部门将坚持以习近平新时代中国特色社会主义思想为指导，紧紧围绕中国气象局和省委省政府相关决策部署，以及贵州气象事业高质量发展需要，不断拓展公开渠道，丰富公开内容，加强政策解读，回应社会关切，增强公开实效，切实推进贵州省气象部门政府信息公开工作再上新台阶。</w:t>
      </w:r>
    </w:p>
    <w:p>
      <w:pPr>
        <w:pStyle w:val="11"/>
        <w:widowControl/>
        <w:numPr>
          <w:ilvl w:val="0"/>
          <w:numId w:val="1"/>
        </w:numPr>
        <w:shd w:val="clear" w:color="auto" w:fill="FFFFFF"/>
        <w:ind w:firstLineChars="0"/>
        <w:rPr>
          <w:rFonts w:ascii="仿宋_GB2312" w:hAnsi="宋体" w:eastAsia="仿宋_GB2312" w:cs="宋体"/>
          <w:b/>
          <w:kern w:val="0"/>
          <w:sz w:val="32"/>
          <w:szCs w:val="32"/>
        </w:rPr>
      </w:pPr>
      <w:r>
        <w:rPr>
          <w:rFonts w:hint="eastAsia" w:ascii="仿宋_GB2312" w:hAnsi="宋体" w:eastAsia="仿宋_GB2312" w:cs="宋体"/>
          <w:b/>
          <w:kern w:val="0"/>
          <w:sz w:val="32"/>
          <w:szCs w:val="32"/>
        </w:rPr>
        <w:t>其他需要报告的事项</w:t>
      </w:r>
    </w:p>
    <w:p>
      <w:pPr>
        <w:widowControl/>
        <w:shd w:val="clear" w:color="auto" w:fill="FFFFFF"/>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无</w:t>
      </w:r>
    </w:p>
    <w:p>
      <w:pPr>
        <w:widowControl/>
        <w:shd w:val="clear" w:color="auto" w:fill="FFFFFF"/>
        <w:ind w:firstLine="640" w:firstLineChars="200"/>
        <w:rPr>
          <w:rFonts w:ascii="仿宋_GB2312" w:eastAsia="仿宋_GB2312"/>
          <w:sz w:val="32"/>
          <w:szCs w:val="32"/>
          <w:shd w:val="clear" w:color="auto" w:fill="FFFFFF"/>
        </w:rPr>
      </w:pPr>
    </w:p>
    <w:p>
      <w:pPr>
        <w:widowControl/>
        <w:shd w:val="clear" w:color="auto" w:fill="FFFFFF"/>
        <w:ind w:firstLine="640" w:firstLineChars="200"/>
        <w:rPr>
          <w:rFonts w:ascii="仿宋_GB2312" w:eastAsia="仿宋_GB2312"/>
          <w:sz w:val="32"/>
          <w:szCs w:val="32"/>
          <w:shd w:val="clear" w:color="auto" w:fill="FFFFFF"/>
        </w:rPr>
      </w:pPr>
    </w:p>
    <w:p>
      <w:pPr>
        <w:widowControl/>
        <w:shd w:val="clear" w:color="auto" w:fill="FFFFFF"/>
        <w:ind w:firstLine="640" w:firstLineChars="200"/>
        <w:rPr>
          <w:rFonts w:ascii="仿宋_GB2312" w:eastAsia="仿宋_GB2312"/>
          <w:sz w:val="32"/>
          <w:szCs w:val="32"/>
          <w:shd w:val="clear" w:color="auto" w:fill="FFFFFF"/>
        </w:rPr>
      </w:pPr>
    </w:p>
    <w:p>
      <w:pPr>
        <w:widowControl/>
        <w:shd w:val="clear" w:color="auto" w:fill="FFFFFF"/>
        <w:wordWrap w:val="0"/>
        <w:spacing w:line="450" w:lineRule="atLeast"/>
        <w:ind w:firstLine="5760"/>
        <w:jc w:val="right"/>
        <w:rPr>
          <w:rFonts w:ascii="仿宋_GB2312" w:eastAsia="仿宋_GB2312"/>
          <w:sz w:val="32"/>
          <w:szCs w:val="32"/>
          <w:shd w:val="clear" w:color="auto" w:fill="FFFFFF"/>
        </w:rPr>
      </w:pPr>
      <w:r>
        <w:rPr>
          <w:rFonts w:hint="eastAsia" w:ascii="仿宋_GB2312" w:eastAsia="仿宋_GB2312"/>
          <w:sz w:val="32"/>
          <w:szCs w:val="32"/>
          <w:shd w:val="clear" w:color="auto" w:fill="FFFFFF"/>
        </w:rPr>
        <w:t xml:space="preserve">贵州省气象局 </w:t>
      </w:r>
      <w:r>
        <w:rPr>
          <w:rFonts w:ascii="仿宋_GB2312" w:eastAsia="仿宋_GB2312"/>
          <w:sz w:val="32"/>
          <w:szCs w:val="32"/>
          <w:shd w:val="clear" w:color="auto" w:fill="FFFFFF"/>
        </w:rPr>
        <w:t xml:space="preserve"> </w:t>
      </w:r>
    </w:p>
    <w:p>
      <w:pPr>
        <w:widowControl/>
        <w:shd w:val="clear" w:color="auto" w:fill="FFFFFF"/>
        <w:spacing w:line="450" w:lineRule="atLeast"/>
        <w:jc w:val="right"/>
        <w:rPr>
          <w:rFonts w:ascii="仿宋_GB2312" w:eastAsia="仿宋_GB2312"/>
          <w:sz w:val="32"/>
          <w:szCs w:val="32"/>
          <w:shd w:val="clear" w:color="auto" w:fill="FFFFFF"/>
        </w:rPr>
      </w:pPr>
      <w:r>
        <w:rPr>
          <w:rFonts w:hint="eastAsia" w:ascii="仿宋_GB2312" w:eastAsia="仿宋_GB2312"/>
          <w:sz w:val="32"/>
          <w:szCs w:val="32"/>
          <w:shd w:val="clear" w:color="auto" w:fill="FFFFFF"/>
        </w:rPr>
        <w:t>202</w:t>
      </w:r>
      <w:r>
        <w:rPr>
          <w:rFonts w:ascii="仿宋_GB2312" w:eastAsia="仿宋_GB2312"/>
          <w:sz w:val="32"/>
          <w:szCs w:val="32"/>
          <w:shd w:val="clear" w:color="auto" w:fill="FFFFFF"/>
        </w:rPr>
        <w:t>2</w:t>
      </w:r>
      <w:r>
        <w:rPr>
          <w:rFonts w:hint="eastAsia" w:ascii="仿宋_GB2312" w:eastAsia="仿宋_GB2312"/>
          <w:sz w:val="32"/>
          <w:szCs w:val="32"/>
          <w:shd w:val="clear" w:color="auto" w:fill="FFFFFF"/>
        </w:rPr>
        <w:t>年</w:t>
      </w:r>
      <w:r>
        <w:rPr>
          <w:rFonts w:hint="eastAsia" w:ascii="仿宋_GB2312" w:eastAsia="仿宋_GB2312"/>
          <w:sz w:val="32"/>
          <w:szCs w:val="32"/>
          <w:shd w:val="clear" w:color="auto" w:fill="FFFFFF"/>
          <w:lang w:val="en-US" w:eastAsia="zh-CN"/>
        </w:rPr>
        <w:t>2</w:t>
      </w:r>
      <w:r>
        <w:rPr>
          <w:rFonts w:hint="eastAsia" w:ascii="仿宋_GB2312" w:eastAsia="仿宋_GB2312"/>
          <w:sz w:val="32"/>
          <w:szCs w:val="32"/>
          <w:shd w:val="clear" w:color="auto" w:fill="FFFFFF"/>
        </w:rPr>
        <w:t>月2</w:t>
      </w:r>
      <w:r>
        <w:rPr>
          <w:rFonts w:hint="eastAsia" w:ascii="仿宋_GB2312" w:eastAsia="仿宋_GB2312"/>
          <w:sz w:val="32"/>
          <w:szCs w:val="32"/>
          <w:shd w:val="clear" w:color="auto" w:fill="FFFFFF"/>
          <w:lang w:val="en-US" w:eastAsia="zh-CN"/>
        </w:rPr>
        <w:t>5</w:t>
      </w:r>
      <w:r>
        <w:rPr>
          <w:rFonts w:hint="eastAsia" w:ascii="仿宋_GB2312" w:eastAsia="仿宋_GB2312"/>
          <w:sz w:val="32"/>
          <w:szCs w:val="32"/>
          <w:shd w:val="clear" w:color="auto" w:fill="FFFFFF"/>
        </w:rPr>
        <w:t>日</w:t>
      </w:r>
    </w:p>
    <w:p>
      <w:pPr>
        <w:widowControl/>
        <w:shd w:val="clear" w:color="auto" w:fill="FFFFFF"/>
        <w:ind w:firstLine="640" w:firstLineChars="200"/>
        <w:rPr>
          <w:rFonts w:ascii="仿宋_GB2312" w:hAnsi="宋体" w:eastAsia="仿宋_GB2312" w:cs="宋体"/>
          <w:kern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C6488A"/>
    <w:multiLevelType w:val="multilevel"/>
    <w:tmpl w:val="0CC6488A"/>
    <w:lvl w:ilvl="0" w:tentative="0">
      <w:start w:val="6"/>
      <w:numFmt w:val="japaneseCounting"/>
      <w:lvlText w:val="%1、"/>
      <w:lvlJc w:val="left"/>
      <w:pPr>
        <w:ind w:left="1363" w:hanging="720"/>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formatting="1"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VkNjBjYTFiZGRkOWVmNDMxNjQyYjI3YTRlYmVkOTMifQ=="/>
  </w:docVars>
  <w:rsids>
    <w:rsidRoot w:val="00000000"/>
    <w:rsid w:val="008B73C2"/>
    <w:rsid w:val="056A6E1E"/>
    <w:rsid w:val="0A3F3470"/>
    <w:rsid w:val="10885C2C"/>
    <w:rsid w:val="191F646B"/>
    <w:rsid w:val="277F3204"/>
    <w:rsid w:val="2E051CB2"/>
    <w:rsid w:val="32A95302"/>
    <w:rsid w:val="33557238"/>
    <w:rsid w:val="3D251CCB"/>
    <w:rsid w:val="3D533A17"/>
    <w:rsid w:val="41DF489C"/>
    <w:rsid w:val="422E5DB8"/>
    <w:rsid w:val="4CC4300C"/>
    <w:rsid w:val="58000B9D"/>
    <w:rsid w:val="63D538F9"/>
    <w:rsid w:val="67A1421E"/>
    <w:rsid w:val="78FB57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9"/>
    <w:pPr>
      <w:keepNext/>
      <w:keepLines/>
      <w:spacing w:before="260" w:after="260" w:line="416" w:lineRule="auto"/>
      <w:outlineLvl w:val="1"/>
    </w:pPr>
    <w:rPr>
      <w:rFonts w:ascii="Cambria" w:hAnsi="Cambria"/>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 w:type="paragraph" w:styleId="1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29EC5F-9344-479D-815E-CC7702633D30}">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4</Pages>
  <Words>1927</Words>
  <Characters>1987</Characters>
  <Lines>16</Lines>
  <Paragraphs>4</Paragraphs>
  <TotalTime>3</TotalTime>
  <ScaleCrop>false</ScaleCrop>
  <LinksUpToDate>false</LinksUpToDate>
  <CharactersWithSpaces>2326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2022-01-28T03:08:00Z</dcterms:created>
  <dc:creator>李小平</dc:creator>
  <cp:lastModifiedBy>小虾米酋长</cp:lastModifiedBy>
  <dcterms:modified xsi:type="dcterms:W3CDTF">2023-01-13T07:42:31Z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9D655AD0A39D442D8169235C40C3F77D</vt:lpwstr>
  </property>
</Properties>
</file>