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黔西南州</w:t>
      </w:r>
      <w:r>
        <w:rPr>
          <w:rFonts w:hint="eastAsia" w:ascii="方正小标宋简体" w:hAnsi="方正小标宋简体" w:eastAsia="方正小标宋简体" w:cs="方正小标宋简体"/>
          <w:sz w:val="44"/>
          <w:szCs w:val="44"/>
        </w:rPr>
        <w:t>气象局</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2021年度</w:t>
      </w:r>
      <w:r>
        <w:rPr>
          <w:rFonts w:hint="eastAsia" w:ascii="方正小标宋简体" w:hAnsi="方正小标宋简体" w:eastAsia="方正小标宋简体" w:cs="方正小标宋简体"/>
          <w:sz w:val="44"/>
          <w:szCs w:val="44"/>
        </w:rPr>
        <w:t>政府信息公开工作年度报告</w:t>
      </w:r>
    </w:p>
    <w:p>
      <w:pPr>
        <w:rPr>
          <w:rFonts w:hint="eastAsia"/>
        </w:rPr>
      </w:pPr>
      <w:r>
        <w:rPr>
          <w:rFonts w:hint="eastAsia"/>
        </w:rPr>
        <w:t> </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根据《中华人民共和国政府信息公开条例》（国务院令711号）和《国务院办公厅政府信息与政务公开办公室关于工作年度报告有关事项的通知》（国办公开函〔2019〕60号）</w:t>
      </w:r>
      <w:r>
        <w:rPr>
          <w:rFonts w:hint="eastAsia" w:ascii="方正仿宋_GB2312" w:hAnsi="方正仿宋_GB2312" w:eastAsia="方正仿宋_GB2312" w:cs="方正仿宋_GB2312"/>
          <w:sz w:val="30"/>
          <w:szCs w:val="30"/>
          <w:lang w:eastAsia="zh-CN"/>
        </w:rPr>
        <w:t>文件精神，结合上级</w:t>
      </w:r>
      <w:r>
        <w:rPr>
          <w:rFonts w:hint="eastAsia" w:ascii="方正仿宋_GB2312" w:hAnsi="方正仿宋_GB2312" w:eastAsia="方正仿宋_GB2312" w:cs="方正仿宋_GB2312"/>
          <w:sz w:val="30"/>
          <w:szCs w:val="30"/>
        </w:rPr>
        <w:t>要求，</w:t>
      </w:r>
      <w:r>
        <w:rPr>
          <w:rFonts w:hint="eastAsia" w:ascii="方正仿宋_GB2312" w:hAnsi="方正仿宋_GB2312" w:eastAsia="方正仿宋_GB2312" w:cs="方正仿宋_GB2312"/>
          <w:sz w:val="30"/>
          <w:szCs w:val="30"/>
          <w:lang w:eastAsia="zh-CN"/>
        </w:rPr>
        <w:t>黔西南州气象局组织编制了</w:t>
      </w:r>
      <w:r>
        <w:rPr>
          <w:rFonts w:hint="eastAsia" w:ascii="方正仿宋_GB2312" w:hAnsi="方正仿宋_GB2312" w:eastAsia="方正仿宋_GB2312" w:cs="方正仿宋_GB2312"/>
          <w:sz w:val="30"/>
          <w:szCs w:val="30"/>
          <w:lang w:val="en-US" w:eastAsia="zh-CN"/>
        </w:rPr>
        <w:t>2021年度政务信息公开工作报告</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主要内容有</w:t>
      </w:r>
      <w:r>
        <w:rPr>
          <w:rFonts w:hint="eastAsia" w:ascii="方正仿宋_GB2312" w:hAnsi="方正仿宋_GB2312" w:eastAsia="方正仿宋_GB2312" w:cs="方正仿宋_GB2312"/>
          <w:sz w:val="30"/>
          <w:szCs w:val="30"/>
        </w:rPr>
        <w:t>：2021年度</w:t>
      </w:r>
      <w:r>
        <w:rPr>
          <w:rFonts w:hint="eastAsia" w:ascii="方正仿宋_GB2312" w:hAnsi="方正仿宋_GB2312" w:eastAsia="方正仿宋_GB2312" w:cs="方正仿宋_GB2312"/>
          <w:sz w:val="30"/>
          <w:szCs w:val="30"/>
          <w:lang w:eastAsia="zh-CN"/>
        </w:rPr>
        <w:t>基本</w:t>
      </w:r>
      <w:r>
        <w:rPr>
          <w:rFonts w:hint="eastAsia" w:ascii="方正仿宋_GB2312" w:hAnsi="方正仿宋_GB2312" w:eastAsia="方正仿宋_GB2312" w:cs="方正仿宋_GB2312"/>
          <w:sz w:val="30"/>
          <w:szCs w:val="30"/>
        </w:rPr>
        <w:t>情况，主动公开政府信息情况，收到和处理政府信息公开申请情况，政府信息公开行政复议、提起行政诉讼情况，存在的主要问题及改进情况，其他需要报告的事项等6项内容。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本年度报告中使用数据统计期限为2021年1月1日至12月31日。如对本报告有任何疑问，请联系：</w:t>
      </w:r>
      <w:r>
        <w:rPr>
          <w:rFonts w:hint="eastAsia" w:ascii="方正仿宋_GB2312" w:hAnsi="方正仿宋_GB2312" w:eastAsia="方正仿宋_GB2312" w:cs="方正仿宋_GB2312"/>
          <w:sz w:val="30"/>
          <w:szCs w:val="30"/>
          <w:lang w:eastAsia="zh-CN"/>
        </w:rPr>
        <w:t>黔西南州</w:t>
      </w:r>
      <w:r>
        <w:rPr>
          <w:rFonts w:hint="eastAsia" w:ascii="方正仿宋_GB2312" w:hAnsi="方正仿宋_GB2312" w:eastAsia="方正仿宋_GB2312" w:cs="方正仿宋_GB2312"/>
          <w:sz w:val="30"/>
          <w:szCs w:val="30"/>
        </w:rPr>
        <w:t>气象局办公室，电话：085</w:t>
      </w:r>
      <w:r>
        <w:rPr>
          <w:rFonts w:hint="eastAsia" w:ascii="方正仿宋_GB2312" w:hAnsi="方正仿宋_GB2312" w:eastAsia="方正仿宋_GB2312" w:cs="方正仿宋_GB2312"/>
          <w:sz w:val="30"/>
          <w:szCs w:val="30"/>
          <w:lang w:val="en-US" w:eastAsia="zh-CN"/>
        </w:rPr>
        <w:t>9</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val="en-US" w:eastAsia="zh-CN"/>
        </w:rPr>
        <w:t>3222487</w:t>
      </w:r>
      <w:r>
        <w:rPr>
          <w:rFonts w:hint="eastAsia" w:ascii="方正仿宋_GB2312" w:hAnsi="方正仿宋_GB2312" w:eastAsia="方正仿宋_GB2312" w:cs="方正仿宋_GB2312"/>
          <w:sz w:val="30"/>
          <w:szCs w:val="30"/>
        </w:rPr>
        <w:t>。</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基本</w:t>
      </w:r>
      <w:r>
        <w:rPr>
          <w:rFonts w:hint="eastAsia" w:ascii="黑体" w:hAnsi="黑体" w:eastAsia="黑体" w:cs="黑体"/>
          <w:sz w:val="32"/>
          <w:szCs w:val="32"/>
        </w:rPr>
        <w:t>情况</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2021年，</w:t>
      </w:r>
      <w:r>
        <w:rPr>
          <w:rFonts w:hint="eastAsia" w:ascii="方正仿宋_GB2312" w:hAnsi="方正仿宋_GB2312" w:eastAsia="方正仿宋_GB2312" w:cs="方正仿宋_GB2312"/>
          <w:sz w:val="30"/>
          <w:szCs w:val="30"/>
          <w:lang w:eastAsia="zh-CN"/>
        </w:rPr>
        <w:t>黔西</w:t>
      </w:r>
      <w:r>
        <w:rPr>
          <w:rFonts w:hint="eastAsia" w:ascii="方正仿宋_GB2312" w:hAnsi="方正仿宋_GB2312" w:eastAsia="方正仿宋_GB2312" w:cs="方正仿宋_GB2312"/>
          <w:sz w:val="30"/>
          <w:szCs w:val="30"/>
          <w:lang w:eastAsia="zh-CN"/>
        </w:rPr>
        <w:t>南州气象局</w:t>
      </w:r>
      <w:r>
        <w:rPr>
          <w:rFonts w:hint="eastAsia" w:ascii="方正仿宋_GB2312" w:hAnsi="方正仿宋_GB2312" w:eastAsia="方正仿宋_GB2312" w:cs="方正仿宋_GB2312"/>
          <w:sz w:val="30"/>
          <w:szCs w:val="30"/>
        </w:rPr>
        <w:t>政府信息公开工作</w:t>
      </w:r>
      <w:r>
        <w:rPr>
          <w:rFonts w:hint="eastAsia" w:ascii="方正仿宋_GB2312" w:hAnsi="方正仿宋_GB2312" w:eastAsia="方正仿宋_GB2312" w:cs="方正仿宋_GB2312"/>
          <w:sz w:val="30"/>
          <w:szCs w:val="30"/>
          <w:lang w:eastAsia="zh-CN"/>
        </w:rPr>
        <w:t>以</w:t>
      </w:r>
      <w:r>
        <w:rPr>
          <w:rFonts w:hint="eastAsia" w:ascii="方正仿宋_GB2312" w:hAnsi="方正仿宋_GB2312" w:eastAsia="方正仿宋_GB2312" w:cs="方正仿宋_GB2312"/>
          <w:sz w:val="30"/>
          <w:szCs w:val="30"/>
        </w:rPr>
        <w:t>习近平新时代中国特色社会主义思想为指导，</w:t>
      </w:r>
      <w:r>
        <w:rPr>
          <w:rFonts w:hint="eastAsia" w:ascii="方正仿宋_GB2312" w:hAnsi="方正仿宋_GB2312" w:eastAsia="方正仿宋_GB2312" w:cs="方正仿宋_GB2312"/>
          <w:sz w:val="30"/>
          <w:szCs w:val="30"/>
          <w:lang w:eastAsia="zh-CN"/>
        </w:rPr>
        <w:t>深入</w:t>
      </w:r>
      <w:r>
        <w:rPr>
          <w:rFonts w:hint="eastAsia" w:ascii="方正仿宋_GB2312" w:hAnsi="方正仿宋_GB2312" w:eastAsia="方正仿宋_GB2312" w:cs="方正仿宋_GB2312"/>
          <w:sz w:val="30"/>
          <w:szCs w:val="30"/>
        </w:rPr>
        <w:t>贯彻</w:t>
      </w:r>
      <w:r>
        <w:rPr>
          <w:rFonts w:hint="eastAsia" w:ascii="仿宋_GB2312" w:hAnsi="宋体" w:eastAsia="仿宋_GB2312" w:cs="宋体"/>
          <w:color w:val="444444"/>
          <w:kern w:val="0"/>
          <w:sz w:val="32"/>
          <w:szCs w:val="32"/>
        </w:rPr>
        <w:t>《中华人民共和国政府信息公开条例》</w:t>
      </w:r>
      <w:r>
        <w:rPr>
          <w:rFonts w:hint="eastAsia" w:ascii="仿宋_GB2312" w:hAnsi="宋体" w:eastAsia="仿宋_GB2312" w:cs="宋体"/>
          <w:color w:val="444444"/>
          <w:kern w:val="0"/>
          <w:sz w:val="32"/>
          <w:szCs w:val="32"/>
          <w:lang w:eastAsia="zh-CN"/>
        </w:rPr>
        <w:t>，全面落实</w:t>
      </w:r>
      <w:r>
        <w:rPr>
          <w:rFonts w:hint="eastAsia" w:ascii="仿宋_GB2312" w:hAnsi="宋体" w:eastAsia="仿宋_GB2312" w:cs="宋体"/>
          <w:color w:val="444444"/>
          <w:kern w:val="0"/>
          <w:sz w:val="32"/>
          <w:szCs w:val="32"/>
        </w:rPr>
        <w:t>省气象局和州政府</w:t>
      </w:r>
      <w:r>
        <w:rPr>
          <w:rFonts w:hint="eastAsia" w:ascii="仿宋_GB2312" w:hAnsi="宋体" w:eastAsia="仿宋_GB2312" w:cs="宋体"/>
          <w:color w:val="444444"/>
          <w:kern w:val="0"/>
          <w:sz w:val="32"/>
          <w:szCs w:val="32"/>
          <w:lang w:eastAsia="zh-CN"/>
        </w:rPr>
        <w:t>政务公开工作部署</w:t>
      </w:r>
      <w:r>
        <w:rPr>
          <w:rFonts w:hint="eastAsia" w:ascii="仿宋_GB2312" w:hAnsi="宋体" w:eastAsia="仿宋_GB2312" w:cs="宋体"/>
          <w:color w:val="444444"/>
          <w:kern w:val="0"/>
          <w:sz w:val="32"/>
          <w:szCs w:val="32"/>
        </w:rPr>
        <w:t>，</w:t>
      </w:r>
      <w:r>
        <w:rPr>
          <w:rFonts w:hint="eastAsia" w:ascii="方正仿宋_GB2312" w:hAnsi="方正仿宋_GB2312" w:eastAsia="方正仿宋_GB2312" w:cs="方正仿宋_GB2312"/>
          <w:sz w:val="30"/>
          <w:szCs w:val="30"/>
        </w:rPr>
        <w:t>不断健全完善政务信息公开工作制度，扎实有序做好政务信息公开工作，切实保障人民群众的知情权、参与权、监督权和表达权。一是加强气象部门政府信息公开工作的组织领导，确定办公室是政府信息公开的主管部门，强化工作机制，统筹考虑、协同推进政府信息公开、网站建设、政府数据开放等工作。二是按照政府信息公开内容、流程、平台、时限等相关标准，推动政府信息公开工作规范化。对灾害性天气预警、行政审批等信息及时公开。</w:t>
      </w:r>
      <w:r>
        <w:rPr>
          <w:rFonts w:hint="eastAsia" w:ascii="方正仿宋_GB2312" w:hAnsi="方正仿宋_GB2312" w:eastAsia="方正仿宋_GB2312" w:cs="方正仿宋_GB2312"/>
          <w:sz w:val="30"/>
          <w:szCs w:val="30"/>
          <w:lang w:eastAsia="zh-CN"/>
        </w:rPr>
        <w:t>三是</w:t>
      </w:r>
      <w:r>
        <w:rPr>
          <w:rFonts w:hint="eastAsia" w:ascii="方正仿宋_GB2312" w:hAnsi="方正仿宋_GB2312" w:eastAsia="方正仿宋_GB2312" w:cs="方正仿宋_GB2312"/>
          <w:sz w:val="30"/>
          <w:szCs w:val="30"/>
        </w:rPr>
        <w:t>遵循 “公开、透明、公平、便民”的原则，利用互联网、新媒体等积极拓宽政府信息公开渠道，保障公众的知情权</w:t>
      </w:r>
      <w:r>
        <w:rPr>
          <w:rFonts w:hint="eastAsia" w:ascii="方正仿宋_GB2312" w:hAnsi="方正仿宋_GB2312" w:eastAsia="方正仿宋_GB2312" w:cs="方正仿宋_GB2312"/>
          <w:sz w:val="30"/>
          <w:szCs w:val="30"/>
          <w:lang w:eastAsia="zh-CN"/>
        </w:rPr>
        <w:t>，同时采取“三审三校”的工作机制，对网上公开的相关内容进行审核校对，确保公开的信息真实有效</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四</w:t>
      </w:r>
      <w:r>
        <w:rPr>
          <w:rFonts w:hint="eastAsia" w:ascii="方正仿宋_GB2312" w:hAnsi="方正仿宋_GB2312" w:eastAsia="方正仿宋_GB2312" w:cs="方正仿宋_GB2312"/>
          <w:sz w:val="30"/>
          <w:szCs w:val="30"/>
        </w:rPr>
        <w:t>是根据</w:t>
      </w:r>
      <w:r>
        <w:rPr>
          <w:rFonts w:hint="eastAsia" w:ascii="方正仿宋_GB2312" w:hAnsi="方正仿宋_GB2312" w:eastAsia="方正仿宋_GB2312" w:cs="方正仿宋_GB2312"/>
          <w:sz w:val="30"/>
          <w:szCs w:val="30"/>
          <w:lang w:eastAsia="zh-CN"/>
        </w:rPr>
        <w:t>省局和州</w:t>
      </w:r>
      <w:r>
        <w:rPr>
          <w:rFonts w:hint="eastAsia" w:ascii="方正仿宋_GB2312" w:hAnsi="方正仿宋_GB2312" w:eastAsia="方正仿宋_GB2312" w:cs="方正仿宋_GB2312"/>
          <w:sz w:val="30"/>
          <w:szCs w:val="30"/>
        </w:rPr>
        <w:t>政府要求做好</w:t>
      </w:r>
      <w:r>
        <w:rPr>
          <w:rFonts w:hint="eastAsia" w:ascii="方正仿宋_GB2312" w:hAnsi="方正仿宋_GB2312" w:eastAsia="方正仿宋_GB2312" w:cs="方正仿宋_GB2312"/>
          <w:sz w:val="30"/>
          <w:szCs w:val="30"/>
          <w:lang w:eastAsia="zh-CN"/>
        </w:rPr>
        <w:t>全州</w:t>
      </w:r>
      <w:r>
        <w:rPr>
          <w:rFonts w:hint="eastAsia" w:ascii="方正仿宋_GB2312" w:hAnsi="方正仿宋_GB2312" w:eastAsia="方正仿宋_GB2312" w:cs="方正仿宋_GB2312"/>
          <w:sz w:val="30"/>
          <w:szCs w:val="30"/>
        </w:rPr>
        <w:t>气象部门预算决算和“三公”经费公开工作。扎实做好政府采购信息公开，及时完整公开采购文件、中标或成交结果、采购合同等。</w:t>
      </w:r>
      <w:r>
        <w:rPr>
          <w:rFonts w:hint="eastAsia" w:ascii="方正仿宋_GB2312" w:hAnsi="方正仿宋_GB2312" w:eastAsia="方正仿宋_GB2312" w:cs="方正仿宋_GB2312"/>
          <w:sz w:val="30"/>
          <w:szCs w:val="30"/>
          <w:lang w:eastAsia="zh-CN"/>
        </w:rPr>
        <w:t>五是</w:t>
      </w:r>
      <w:r>
        <w:rPr>
          <w:rFonts w:hint="eastAsia" w:ascii="方正仿宋_GB2312" w:hAnsi="方正仿宋_GB2312" w:eastAsia="方正仿宋_GB2312" w:cs="方正仿宋_GB2312"/>
          <w:sz w:val="30"/>
          <w:szCs w:val="30"/>
        </w:rPr>
        <w:t>推进气象部门重大业务项目和科技项目公开，研究确定重大业务项目和科技项目公开范畴，做好项目基本信息、批复文件及验收情况等项目信息的公开工作。</w:t>
      </w:r>
      <w:r>
        <w:rPr>
          <w:rFonts w:hint="eastAsia" w:ascii="方正仿宋_GB2312" w:hAnsi="方正仿宋_GB2312" w:eastAsia="方正仿宋_GB2312" w:cs="方正仿宋_GB2312"/>
          <w:sz w:val="30"/>
          <w:szCs w:val="30"/>
          <w:lang w:eastAsia="zh-CN"/>
        </w:rPr>
        <w:t>六</w:t>
      </w:r>
      <w:r>
        <w:rPr>
          <w:rFonts w:hint="eastAsia" w:ascii="方正仿宋_GB2312" w:hAnsi="方正仿宋_GB2312" w:eastAsia="方正仿宋_GB2312" w:cs="方正仿宋_GB2312"/>
          <w:sz w:val="30"/>
          <w:szCs w:val="30"/>
        </w:rPr>
        <w:t>是加强人事管理信息公开，做好气象部门人事任免等信息公开工作，准确、及时地公开气象部门公务员招录、人事招聘等有关信息。</w:t>
      </w:r>
      <w:r>
        <w:rPr>
          <w:rFonts w:hint="eastAsia" w:ascii="方正仿宋_GB2312" w:hAnsi="方正仿宋_GB2312" w:eastAsia="方正仿宋_GB2312" w:cs="方正仿宋_GB2312"/>
          <w:sz w:val="30"/>
          <w:szCs w:val="30"/>
          <w:lang w:eastAsia="zh-CN"/>
        </w:rPr>
        <w:t>七</w:t>
      </w:r>
      <w:r>
        <w:rPr>
          <w:rFonts w:hint="eastAsia" w:ascii="方正仿宋_GB2312" w:hAnsi="方正仿宋_GB2312" w:eastAsia="方正仿宋_GB2312" w:cs="方正仿宋_GB2312"/>
          <w:sz w:val="30"/>
          <w:szCs w:val="30"/>
        </w:rPr>
        <w:t>是加强气象预警及应对突发事件信息发布，通过各种渠道，及时发布气象预警等信息。</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二、主动公开政府信息情况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2103"/>
        <w:gridCol w:w="2103"/>
        <w:gridCol w:w="2103"/>
        <w:gridCol w:w="21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9735" w:type="dxa"/>
            <w:gridSpan w:val="4"/>
            <w:tcBorders>
              <w:top w:val="single" w:color="auto" w:sz="6" w:space="0"/>
              <w:left w:val="single" w:color="auto" w:sz="6" w:space="0"/>
              <w:bottom w:val="single" w:color="auto" w:sz="6" w:space="0"/>
              <w:right w:val="single" w:color="auto" w:sz="6" w:space="0"/>
            </w:tcBorders>
            <w:shd w:val="clear" w:color="auto" w:fill="C6D9F1"/>
            <w:tcMar>
              <w:left w:w="60" w:type="dxa"/>
              <w:right w:w="60" w:type="dxa"/>
            </w:tcMar>
            <w:vAlign w:val="center"/>
          </w:tcPr>
          <w:p>
            <w:pPr>
              <w:rPr>
                <w:rFonts w:hint="eastAsia"/>
              </w:rPr>
            </w:pPr>
            <w:r>
              <w:rPr>
                <w:rFonts w:hint="eastAsia"/>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信息内容</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rPr>
            </w:pPr>
            <w:r>
              <w:rPr>
                <w:rFonts w:hint="eastAsia"/>
              </w:rPr>
              <w:t>本年制发件数</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rPr>
            </w:pPr>
            <w:r>
              <w:rPr>
                <w:rFonts w:hint="eastAsia"/>
              </w:rPr>
              <w:t>本年废止件数</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rPr>
            </w:pPr>
            <w:r>
              <w:rPr>
                <w:rFonts w:hint="eastAsia"/>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规章</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val="en-US" w:eastAsia="zh-CN"/>
              </w:rPr>
            </w:pPr>
            <w:r>
              <w:rPr>
                <w:rFonts w:hint="eastAsia"/>
                <w:lang w:val="en-US" w:eastAsia="zh-CN"/>
              </w:rPr>
              <w:t>0</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val="en-US" w:eastAsia="zh-CN"/>
              </w:rPr>
            </w:pPr>
            <w:r>
              <w:rPr>
                <w:rFonts w:hint="eastAsia"/>
                <w:lang w:val="en-US" w:eastAsia="zh-CN"/>
              </w:rPr>
              <w:t>0</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行政规范性文件</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val="en-US" w:eastAsia="zh-CN"/>
              </w:rPr>
            </w:pPr>
            <w:r>
              <w:rPr>
                <w:rFonts w:hint="eastAsia"/>
                <w:lang w:val="en-US" w:eastAsia="zh-CN"/>
              </w:rPr>
              <w:t>0</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val="en-US" w:eastAsia="zh-CN"/>
              </w:rPr>
            </w:pPr>
            <w:r>
              <w:rPr>
                <w:rFonts w:hint="eastAsia"/>
                <w:lang w:val="en-US" w:eastAsia="zh-CN"/>
              </w:rPr>
              <w:t>0</w:t>
            </w:r>
          </w:p>
        </w:tc>
        <w:tc>
          <w:tcPr>
            <w:tcW w:w="2430" w:type="dxa"/>
            <w:tcBorders>
              <w:top w:val="nil"/>
              <w:left w:val="nil"/>
              <w:bottom w:val="single" w:color="auto" w:sz="6" w:space="0"/>
              <w:right w:val="single" w:color="auto" w:sz="6" w:space="0"/>
            </w:tcBorders>
            <w:shd w:val="clear"/>
            <w:tcMar>
              <w:left w:w="60" w:type="dxa"/>
              <w:right w:w="60" w:type="dxa"/>
            </w:tcMar>
            <w:vAlign w:val="center"/>
          </w:tcPr>
          <w:p>
            <w:pPr>
              <w:rPr>
                <w:rFonts w:hint="eastAsia"/>
                <w:lang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rPr>
                <w:rFonts w:hint="eastAsia"/>
              </w:rPr>
            </w:pPr>
            <w:r>
              <w:rPr>
                <w:rFonts w:hint="eastAsia"/>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信息内容</w:t>
            </w:r>
          </w:p>
        </w:tc>
        <w:tc>
          <w:tcPr>
            <w:tcW w:w="7305" w:type="dxa"/>
            <w:gridSpan w:val="3"/>
            <w:tcBorders>
              <w:top w:val="nil"/>
              <w:left w:val="nil"/>
              <w:bottom w:val="single" w:color="auto" w:sz="6" w:space="0"/>
              <w:right w:val="single" w:color="auto" w:sz="6" w:space="0"/>
            </w:tcBorders>
            <w:shd w:val="clear"/>
            <w:tcMar>
              <w:left w:w="60" w:type="dxa"/>
              <w:right w:w="60" w:type="dxa"/>
            </w:tcMar>
            <w:vAlign w:val="center"/>
          </w:tcPr>
          <w:p>
            <w:pPr>
              <w:rPr>
                <w:rFonts w:hint="eastAsia"/>
              </w:rPr>
            </w:pPr>
            <w:r>
              <w:rPr>
                <w:rFonts w:hint="eastAsia"/>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行政许可</w:t>
            </w:r>
          </w:p>
        </w:tc>
        <w:tc>
          <w:tcPr>
            <w:tcW w:w="7305" w:type="dxa"/>
            <w:gridSpan w:val="3"/>
            <w:tcBorders>
              <w:top w:val="nil"/>
              <w:left w:val="nil"/>
              <w:bottom w:val="single" w:color="auto" w:sz="6" w:space="0"/>
              <w:right w:val="single" w:color="auto" w:sz="6" w:space="0"/>
            </w:tcBorders>
            <w:shd w:val="clear"/>
            <w:tcMar>
              <w:left w:w="60" w:type="dxa"/>
              <w:right w:w="60" w:type="dxa"/>
            </w:tcMar>
            <w:vAlign w:val="center"/>
          </w:tcPr>
          <w:p>
            <w:pPr>
              <w:rPr>
                <w:rFonts w:hint="default" w:eastAsiaTheme="minorEastAsia"/>
                <w:lang w:val="en-US" w:eastAsia="zh-CN"/>
              </w:rPr>
            </w:pPr>
            <w:r>
              <w:rPr>
                <w:rFonts w:hint="eastAsia"/>
                <w:lang w:val="en-US" w:eastAsia="zh-CN"/>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rPr>
                <w:rFonts w:hint="eastAsia"/>
              </w:rPr>
            </w:pPr>
            <w:r>
              <w:rPr>
                <w:rFonts w:hint="eastAsia"/>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信息内容</w:t>
            </w:r>
          </w:p>
        </w:tc>
        <w:tc>
          <w:tcPr>
            <w:tcW w:w="7305" w:type="dxa"/>
            <w:gridSpan w:val="3"/>
            <w:tcBorders>
              <w:top w:val="nil"/>
              <w:left w:val="nil"/>
              <w:bottom w:val="single" w:color="auto" w:sz="6" w:space="0"/>
              <w:right w:val="single" w:color="auto" w:sz="6" w:space="0"/>
            </w:tcBorders>
            <w:shd w:val="clear"/>
            <w:tcMar>
              <w:left w:w="60" w:type="dxa"/>
              <w:right w:w="60" w:type="dxa"/>
            </w:tcMar>
            <w:vAlign w:val="center"/>
          </w:tcPr>
          <w:p>
            <w:pPr>
              <w:rPr>
                <w:rFonts w:hint="eastAsia"/>
              </w:rPr>
            </w:pPr>
            <w:r>
              <w:rPr>
                <w:rFonts w:hint="eastAsia"/>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行政处罚</w:t>
            </w:r>
          </w:p>
        </w:tc>
        <w:tc>
          <w:tcPr>
            <w:tcW w:w="7305" w:type="dxa"/>
            <w:gridSpan w:val="3"/>
            <w:tcBorders>
              <w:top w:val="nil"/>
              <w:left w:val="nil"/>
              <w:bottom w:val="single" w:color="auto" w:sz="6" w:space="0"/>
              <w:right w:val="single" w:color="auto" w:sz="6" w:space="0"/>
            </w:tcBorders>
            <w:shd w:val="clear"/>
            <w:tcMar>
              <w:left w:w="60" w:type="dxa"/>
              <w:right w:w="60" w:type="dxa"/>
            </w:tcMar>
            <w:vAlign w:val="center"/>
          </w:tcPr>
          <w:p>
            <w:pP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pPr>
              <w:rPr>
                <w:rFonts w:hint="eastAsia"/>
              </w:rPr>
            </w:pPr>
            <w:r>
              <w:rPr>
                <w:rFonts w:hint="eastAsia"/>
              </w:rPr>
              <w:t>行政强制</w:t>
            </w:r>
          </w:p>
        </w:tc>
        <w:tc>
          <w:tcPr>
            <w:tcW w:w="7305" w:type="dxa"/>
            <w:gridSpan w:val="3"/>
            <w:tcBorders>
              <w:top w:val="nil"/>
              <w:left w:val="nil"/>
              <w:bottom w:val="single" w:color="auto" w:sz="6" w:space="0"/>
              <w:right w:val="single" w:color="auto" w:sz="6" w:space="0"/>
            </w:tcBorders>
            <w:shd w:val="clear"/>
            <w:tcMar>
              <w:left w:w="60" w:type="dxa"/>
              <w:right w:w="60" w:type="dxa"/>
            </w:tcMar>
            <w:vAlign w:val="center"/>
          </w:tcPr>
          <w:p>
            <w:pPr>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9735" w:type="dxa"/>
            <w:gridSpan w:val="4"/>
            <w:tcBorders>
              <w:top w:val="nil"/>
              <w:left w:val="single" w:color="auto" w:sz="6" w:space="0"/>
              <w:bottom w:val="single" w:color="auto" w:sz="6" w:space="0"/>
              <w:right w:val="single" w:color="auto" w:sz="6" w:space="0"/>
            </w:tcBorders>
            <w:shd w:val="clear" w:color="auto" w:fill="C6D9F1"/>
            <w:tcMar>
              <w:left w:w="60" w:type="dxa"/>
              <w:right w:w="60" w:type="dxa"/>
            </w:tcMar>
            <w:vAlign w:val="center"/>
          </w:tcPr>
          <w:p>
            <w:pPr>
              <w:rPr>
                <w:rFonts w:hint="eastAsia"/>
              </w:rPr>
            </w:pPr>
            <w:r>
              <w:rPr>
                <w:rFonts w:hint="eastAsia"/>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r>
              <w:rPr>
                <w:rFonts w:hint="eastAsia"/>
              </w:rPr>
              <w:t>信息内容</w:t>
            </w:r>
          </w:p>
        </w:tc>
        <w:tc>
          <w:tcPr>
            <w:tcW w:w="7305" w:type="dxa"/>
            <w:gridSpan w:val="3"/>
            <w:tcBorders>
              <w:top w:val="nil"/>
              <w:left w:val="nil"/>
              <w:bottom w:val="single" w:color="auto" w:sz="6" w:space="0"/>
              <w:right w:val="single" w:color="000000" w:sz="6" w:space="0"/>
            </w:tcBorders>
            <w:shd w:val="clear"/>
            <w:tcMar>
              <w:left w:w="60" w:type="dxa"/>
              <w:right w:w="60" w:type="dxa"/>
            </w:tcMar>
            <w:vAlign w:val="center"/>
          </w:tcPr>
          <w:p>
            <w:r>
              <w:rPr>
                <w:rFonts w:hint="eastAsia"/>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5" w:hRule="atLeast"/>
          <w:jc w:val="center"/>
        </w:trPr>
        <w:tc>
          <w:tcPr>
            <w:tcW w:w="2430" w:type="dxa"/>
            <w:tcBorders>
              <w:top w:val="nil"/>
              <w:left w:val="single" w:color="auto" w:sz="6" w:space="0"/>
              <w:bottom w:val="single" w:color="auto" w:sz="6" w:space="0"/>
              <w:right w:val="single" w:color="auto" w:sz="6" w:space="0"/>
            </w:tcBorders>
            <w:shd w:val="clear"/>
            <w:tcMar>
              <w:left w:w="60" w:type="dxa"/>
              <w:right w:w="60" w:type="dxa"/>
            </w:tcMar>
            <w:vAlign w:val="center"/>
          </w:tcPr>
          <w:p>
            <w:r>
              <w:rPr>
                <w:rFonts w:hint="eastAsia"/>
              </w:rPr>
              <w:t>行政事业性收费</w:t>
            </w:r>
          </w:p>
        </w:tc>
        <w:tc>
          <w:tcPr>
            <w:tcW w:w="7305" w:type="dxa"/>
            <w:gridSpan w:val="3"/>
            <w:tcBorders>
              <w:top w:val="nil"/>
              <w:left w:val="nil"/>
              <w:bottom w:val="single" w:color="auto" w:sz="6" w:space="0"/>
              <w:right w:val="single" w:color="000000" w:sz="6" w:space="0"/>
            </w:tcBorders>
            <w:shd w:val="clear"/>
            <w:tcMar>
              <w:left w:w="60" w:type="dxa"/>
              <w:right w:w="60" w:type="dxa"/>
            </w:tcMar>
            <w:vAlign w:val="center"/>
          </w:tcPr>
          <w:p>
            <w:pPr>
              <w:rPr>
                <w:rFonts w:hint="eastAsia" w:eastAsiaTheme="minorEastAsia"/>
                <w:lang w:val="en-US" w:eastAsia="zh-CN"/>
              </w:rPr>
            </w:pPr>
            <w:r>
              <w:rPr>
                <w:rFonts w:hint="eastAsia"/>
                <w:lang w:val="en-US" w:eastAsia="zh-CN"/>
              </w:rPr>
              <w:t>0</w:t>
            </w:r>
          </w:p>
        </w:tc>
      </w:tr>
    </w:tbl>
    <w:p>
      <w:pPr>
        <w:ind w:firstLine="640" w:firstLineChars="200"/>
        <w:rPr>
          <w:rFonts w:hint="eastAsia" w:ascii="黑体" w:hAnsi="黑体" w:eastAsia="黑体" w:cs="黑体"/>
          <w:sz w:val="32"/>
          <w:szCs w:val="32"/>
        </w:rPr>
      </w:pPr>
      <w:r>
        <w:rPr>
          <w:rFonts w:hint="eastAsia" w:ascii="黑体" w:hAnsi="黑体" w:eastAsia="黑体" w:cs="黑体"/>
          <w:sz w:val="32"/>
          <w:szCs w:val="32"/>
        </w:rPr>
        <w:t>三、收到和处理政府信息公开申请情况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712"/>
        <w:gridCol w:w="900"/>
        <w:gridCol w:w="2593"/>
        <w:gridCol w:w="609"/>
        <w:gridCol w:w="609"/>
        <w:gridCol w:w="609"/>
        <w:gridCol w:w="609"/>
        <w:gridCol w:w="610"/>
        <w:gridCol w:w="610"/>
        <w:gridCol w:w="6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45" w:type="dxa"/>
            <w:gridSpan w:val="3"/>
            <w:vMerge w:val="restart"/>
            <w:tcBorders>
              <w:top w:val="single" w:color="auto" w:sz="6" w:space="0"/>
              <w:left w:val="single" w:color="auto" w:sz="6" w:space="0"/>
              <w:bottom w:val="outset" w:color="000000"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t>（本列数据的勾稽关系为：第一项加第二项之和，等于第三项加第四项之和）</w:t>
            </w:r>
          </w:p>
        </w:tc>
        <w:tc>
          <w:tcPr>
            <w:tcW w:w="4995" w:type="dxa"/>
            <w:gridSpan w:val="7"/>
            <w:tcBorders>
              <w:top w:val="single" w:color="auto" w:sz="6" w:space="0"/>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45" w:type="dxa"/>
            <w:gridSpan w:val="3"/>
            <w:vMerge w:val="continue"/>
            <w:tcBorders>
              <w:top w:val="single" w:color="auto" w:sz="6" w:space="0"/>
              <w:left w:val="single" w:color="auto" w:sz="6" w:space="0"/>
              <w:bottom w:val="outset" w:color="000000"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720" w:type="dxa"/>
            <w:vMerge w:val="restart"/>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自然人</w:t>
            </w:r>
          </w:p>
        </w:tc>
        <w:tc>
          <w:tcPr>
            <w:tcW w:w="3570" w:type="dxa"/>
            <w:gridSpan w:val="5"/>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法人或其他组织</w:t>
            </w:r>
          </w:p>
        </w:tc>
        <w:tc>
          <w:tcPr>
            <w:tcW w:w="720" w:type="dxa"/>
            <w:vMerge w:val="restart"/>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45" w:type="dxa"/>
            <w:gridSpan w:val="3"/>
            <w:vMerge w:val="continue"/>
            <w:tcBorders>
              <w:top w:val="single" w:color="auto" w:sz="6" w:space="0"/>
              <w:left w:val="single" w:color="auto" w:sz="6" w:space="0"/>
              <w:bottom w:val="outset" w:color="000000"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720" w:type="dxa"/>
            <w:vMerge w:val="continue"/>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商业</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企业</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科研</w:t>
            </w:r>
          </w:p>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机构</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社会公益组织</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法律服务机构</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其他</w:t>
            </w:r>
          </w:p>
        </w:tc>
        <w:tc>
          <w:tcPr>
            <w:tcW w:w="72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4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一、本年新收政府信息公开申请数量</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514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二、上年结转政府信息公开申请数量</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eastAsiaTheme="minorEastAsia"/>
                <w:lang w:val="en-US" w:eastAsia="zh-CN"/>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restart"/>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三、本年度办理结果</w:t>
            </w:r>
          </w:p>
        </w:tc>
        <w:tc>
          <w:tcPr>
            <w:tcW w:w="4365" w:type="dxa"/>
            <w:gridSpan w:val="2"/>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（一）予以公开</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4365" w:type="dxa"/>
            <w:gridSpan w:val="2"/>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（二）部分公开（区分处理的，只计这一情形，不计其他情形）</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restart"/>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（三）不予公开</w:t>
            </w: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1.属于国家秘密</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2.其他法律行政法规禁止公开</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3.危及“三安全一稳定”</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4.保护第三方合法权益</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5.属于三类内部事务信息</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6.属于四类过程性信息</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7.属于行政执法案卷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8.属于行政查询事项</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restart"/>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（四）无法提供</w:t>
            </w: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1.本机关不掌握相关政府信息</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2.没有现成信息需要另行制作</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3.补正后申请内容仍不明确</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restart"/>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（五）不予处理</w:t>
            </w: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1.信访举报投诉类申请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2.重复申请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3.要求提供公开出版物</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4.无正当理由大量反复申请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trHeight w:val="780" w:hRule="atLeast"/>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5.要求行政机关确认或重新出具已获取信息</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restart"/>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（六）其他处理</w:t>
            </w:r>
          </w:p>
        </w:tc>
        <w:tc>
          <w:tcPr>
            <w:tcW w:w="3405"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1.申请人无正当理由逾期不补正、行政机关不再处理其政府信息公开申请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2.申请人逾期未按收费通知要求缴纳费用、行政机关不再处理其政府信息公开申请</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960" w:type="dxa"/>
            <w:vMerge w:val="continue"/>
            <w:tcBorders>
              <w:top w:val="nil"/>
              <w:left w:val="nil"/>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3405"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3.其他</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780" w:type="dxa"/>
            <w:vMerge w:val="continue"/>
            <w:tcBorders>
              <w:top w:val="nil"/>
              <w:left w:val="single" w:color="auto" w:sz="6" w:space="0"/>
              <w:bottom w:val="outset" w:color="000000"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4365" w:type="dxa"/>
            <w:gridSpan w:val="2"/>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（七）总计</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5145" w:type="dxa"/>
            <w:gridSpan w:val="3"/>
            <w:tcBorders>
              <w:top w:val="nil"/>
              <w:left w:val="single" w:color="auto" w:sz="6" w:space="0"/>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四、结转下年度继续办理</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720" w:type="dxa"/>
            <w:tcBorders>
              <w:top w:val="nil"/>
              <w:left w:val="nil"/>
              <w:bottom w:val="single" w:color="auto" w:sz="6" w:space="0"/>
              <w:right w:val="single" w:color="auto" w:sz="6" w:space="0"/>
            </w:tcBorders>
            <w:shd w:val="clear"/>
            <w:tcMar>
              <w:left w:w="60" w:type="dxa"/>
              <w:right w:w="60" w:type="dxa"/>
            </w:tcMar>
            <w:vAlign w:val="top"/>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bl>
    <w:p>
      <w:pPr>
        <w:rPr>
          <w:rFonts w:hint="eastAsia"/>
        </w:rPr>
      </w:pPr>
      <w:r>
        <w:rPr>
          <w:rFonts w:hint="eastAsia"/>
        </w:rPr>
        <w:t> </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0" w:type="dxa"/>
          <w:bottom w:w="0" w:type="dxa"/>
          <w:right w:w="0" w:type="dxa"/>
        </w:tblCellMar>
      </w:tblPr>
      <w:tblGrid>
        <w:gridCol w:w="567"/>
        <w:gridCol w:w="567"/>
        <w:gridCol w:w="567"/>
        <w:gridCol w:w="567"/>
        <w:gridCol w:w="568"/>
        <w:gridCol w:w="568"/>
        <w:gridCol w:w="568"/>
        <w:gridCol w:w="568"/>
        <w:gridCol w:w="568"/>
        <w:gridCol w:w="568"/>
        <w:gridCol w:w="568"/>
        <w:gridCol w:w="568"/>
        <w:gridCol w:w="568"/>
        <w:gridCol w:w="568"/>
        <w:gridCol w:w="56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0" w:type="dxa"/>
            <w:left w:w="0" w:type="dxa"/>
            <w:bottom w:w="0" w:type="dxa"/>
            <w:right w:w="0" w:type="dxa"/>
          </w:tblCellMar>
        </w:tblPrEx>
        <w:trPr>
          <w:jc w:val="center"/>
        </w:trPr>
        <w:tc>
          <w:tcPr>
            <w:tcW w:w="3210" w:type="dxa"/>
            <w:gridSpan w:val="5"/>
            <w:tcBorders>
              <w:top w:val="single" w:color="auto" w:sz="6" w:space="0"/>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行政复议</w:t>
            </w:r>
          </w:p>
        </w:tc>
        <w:tc>
          <w:tcPr>
            <w:tcW w:w="6435" w:type="dxa"/>
            <w:gridSpan w:val="10"/>
            <w:tcBorders>
              <w:top w:val="single" w:color="auto" w:sz="6" w:space="0"/>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restart"/>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结果维持</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w:t>
            </w:r>
            <w:r>
              <w:rPr>
                <w:rFonts w:hint="eastAsia"/>
              </w:rPr>
              <w:br w:type="textWrapping"/>
            </w:r>
            <w:r>
              <w:rPr>
                <w:rFonts w:hint="eastAsia"/>
              </w:rPr>
              <w:t>   纠正</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其他</w:t>
            </w:r>
            <w:r>
              <w:rPr>
                <w:rFonts w:hint="eastAsia"/>
              </w:rPr>
              <w:br w:type="textWrapping"/>
            </w:r>
            <w:r>
              <w:rPr>
                <w:rFonts w:hint="eastAsia"/>
              </w:rPr>
              <w:t>   结果</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尚未</w:t>
            </w:r>
            <w:r>
              <w:rPr>
                <w:rFonts w:hint="eastAsia"/>
              </w:rPr>
              <w:br w:type="textWrapping"/>
            </w:r>
            <w:r>
              <w:rPr>
                <w:rFonts w:hint="eastAsia"/>
              </w:rPr>
              <w:t>   审结</w:t>
            </w:r>
          </w:p>
        </w:tc>
        <w:tc>
          <w:tcPr>
            <w:tcW w:w="645" w:type="dxa"/>
            <w:vMerge w:val="restart"/>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总计</w:t>
            </w:r>
          </w:p>
        </w:tc>
        <w:tc>
          <w:tcPr>
            <w:tcW w:w="32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未经复议直接起诉</w:t>
            </w:r>
          </w:p>
        </w:tc>
        <w:tc>
          <w:tcPr>
            <w:tcW w:w="321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45" w:type="dxa"/>
            <w:vMerge w:val="continue"/>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645" w:type="dxa"/>
            <w:vMerge w:val="continue"/>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w:t>
            </w:r>
            <w:r>
              <w:rPr>
                <w:rFonts w:hint="eastAsia"/>
              </w:rPr>
              <w:br w:type="textWrapping"/>
            </w:r>
            <w:r>
              <w:rPr>
                <w:rFonts w:hint="eastAsia"/>
              </w:rPr>
              <w:t>   维持</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w:t>
            </w:r>
            <w:r>
              <w:rPr>
                <w:rFonts w:hint="eastAsia"/>
              </w:rPr>
              <w:br w:type="textWrapping"/>
            </w:r>
            <w:r>
              <w:rPr>
                <w:rFonts w:hint="eastAsia"/>
              </w:rPr>
              <w:t>   纠正</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其他</w:t>
            </w:r>
            <w:r>
              <w:rPr>
                <w:rFonts w:hint="eastAsia"/>
              </w:rPr>
              <w:br w:type="textWrapping"/>
            </w:r>
            <w:r>
              <w:rPr>
                <w:rFonts w:hint="eastAsia"/>
              </w:rPr>
              <w:t>   结果</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尚未</w:t>
            </w:r>
            <w:r>
              <w:rPr>
                <w:rFonts w:hint="eastAsia"/>
              </w:rPr>
              <w:br w:type="textWrapping"/>
            </w:r>
            <w:r>
              <w:rPr>
                <w:rFonts w:hint="eastAsia"/>
              </w:rPr>
              <w:t>   审结</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总计</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w:t>
            </w:r>
            <w:r>
              <w:rPr>
                <w:rFonts w:hint="eastAsia"/>
              </w:rPr>
              <w:br w:type="textWrapping"/>
            </w:r>
            <w:r>
              <w:rPr>
                <w:rFonts w:hint="eastAsia"/>
              </w:rPr>
              <w:t>   维持</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结果</w:t>
            </w:r>
            <w:r>
              <w:rPr>
                <w:rFonts w:hint="eastAsia"/>
              </w:rPr>
              <w:br w:type="textWrapping"/>
            </w:r>
            <w:r>
              <w:rPr>
                <w:rFonts w:hint="eastAsia"/>
              </w:rPr>
              <w:t>   纠正</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其他</w:t>
            </w:r>
            <w:r>
              <w:rPr>
                <w:rFonts w:hint="eastAsia"/>
              </w:rPr>
              <w:br w:type="textWrapping"/>
            </w:r>
            <w:r>
              <w:rPr>
                <w:rFonts w:hint="eastAsia"/>
              </w:rPr>
              <w:t>   结果</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尚未</w:t>
            </w:r>
            <w:r>
              <w:rPr>
                <w:rFonts w:hint="eastAsia"/>
              </w:rPr>
              <w:br w:type="textWrapping"/>
            </w:r>
            <w:r>
              <w:rPr>
                <w:rFonts w:hint="eastAsia"/>
              </w:rPr>
              <w:t>   审结</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pPr>
            <w:r>
              <w:rPr>
                <w:rFonts w:hint="eastAsia"/>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75" w:hRule="atLeast"/>
          <w:jc w:val="center"/>
        </w:trPr>
        <w:tc>
          <w:tcPr>
            <w:tcW w:w="645" w:type="dxa"/>
            <w:tcBorders>
              <w:top w:val="nil"/>
              <w:left w:val="single" w:color="auto" w:sz="6" w:space="0"/>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c>
          <w:tcPr>
            <w:tcW w:w="64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pageBreakBefore w:val="0"/>
              <w:widowControl w:val="0"/>
              <w:kinsoku/>
              <w:wordWrap/>
              <w:overflowPunct/>
              <w:topLinePunct w:val="0"/>
              <w:autoSpaceDE/>
              <w:autoSpaceDN/>
              <w:bidi w:val="0"/>
              <w:adjustRightInd w:val="0"/>
              <w:snapToGrid w:val="0"/>
              <w:spacing w:line="240" w:lineRule="atLeast"/>
              <w:textAlignment w:val="auto"/>
              <w:rPr>
                <w:rFonts w:hint="eastAsia"/>
              </w:rPr>
            </w:pPr>
            <w:r>
              <w:rPr>
                <w:rFonts w:hint="eastAsia"/>
                <w:lang w:val="en-US" w:eastAsia="zh-CN"/>
              </w:rPr>
              <w:t>0</w:t>
            </w:r>
          </w:p>
        </w:tc>
      </w:tr>
    </w:tbl>
    <w:p>
      <w:pPr>
        <w:ind w:firstLine="640" w:firstLineChars="200"/>
        <w:rPr>
          <w:rFonts w:hint="eastAsia"/>
        </w:rPr>
      </w:pPr>
      <w:r>
        <w:rPr>
          <w:rFonts w:hint="eastAsia" w:ascii="黑体" w:hAnsi="黑体" w:eastAsia="黑体" w:cs="黑体"/>
          <w:sz w:val="32"/>
          <w:szCs w:val="32"/>
        </w:rPr>
        <w:t>五、存在的主要问题及改进情况</w:t>
      </w:r>
    </w:p>
    <w:p>
      <w:pPr>
        <w:ind w:firstLine="420" w:firstLineChars="200"/>
        <w:rPr>
          <w:rFonts w:hint="eastAsia" w:ascii="方正仿宋_GB2312" w:hAnsi="方正仿宋_GB2312" w:eastAsia="方正仿宋_GB2312" w:cs="方正仿宋_GB2312"/>
          <w:sz w:val="30"/>
          <w:szCs w:val="30"/>
        </w:rPr>
      </w:pPr>
      <w:r>
        <w:rPr>
          <w:rFonts w:hint="eastAsia"/>
        </w:rPr>
        <w:t>  </w:t>
      </w:r>
      <w:r>
        <w:rPr>
          <w:rFonts w:hint="eastAsia" w:ascii="方正仿宋_GB2312" w:hAnsi="方正仿宋_GB2312" w:eastAsia="方正仿宋_GB2312" w:cs="方正仿宋_GB2312"/>
          <w:sz w:val="30"/>
          <w:szCs w:val="30"/>
        </w:rPr>
        <w:t>2021年，我局政府信息公开工作</w:t>
      </w:r>
      <w:r>
        <w:rPr>
          <w:rFonts w:hint="eastAsia" w:ascii="方正仿宋_GB2312" w:hAnsi="方正仿宋_GB2312" w:eastAsia="方正仿宋_GB2312" w:cs="方正仿宋_GB2312"/>
          <w:sz w:val="30"/>
          <w:szCs w:val="30"/>
          <w:lang w:eastAsia="zh-CN"/>
        </w:rPr>
        <w:t>有序推进，公开制度进一步完善、透明度进一步提升，</w:t>
      </w:r>
      <w:r>
        <w:rPr>
          <w:rFonts w:hint="eastAsia" w:ascii="方正仿宋_GB2312" w:hAnsi="方正仿宋_GB2312" w:eastAsia="方正仿宋_GB2312" w:cs="方正仿宋_GB2312"/>
          <w:sz w:val="30"/>
          <w:szCs w:val="30"/>
        </w:rPr>
        <w:t>人民群众的知情权、参与权、监督权</w:t>
      </w:r>
      <w:r>
        <w:rPr>
          <w:rFonts w:hint="eastAsia" w:ascii="方正仿宋_GB2312" w:hAnsi="方正仿宋_GB2312" w:eastAsia="方正仿宋_GB2312" w:cs="方正仿宋_GB2312"/>
          <w:sz w:val="30"/>
          <w:szCs w:val="30"/>
          <w:lang w:eastAsia="zh-CN"/>
        </w:rPr>
        <w:t>得到充分体现</w:t>
      </w:r>
      <w:r>
        <w:rPr>
          <w:rFonts w:hint="eastAsia" w:ascii="方正仿宋_GB2312" w:hAnsi="方正仿宋_GB2312" w:eastAsia="方正仿宋_GB2312" w:cs="方正仿宋_GB2312"/>
          <w:sz w:val="30"/>
          <w:szCs w:val="30"/>
        </w:rPr>
        <w:t>，但仍然存在一些问题，主要表现在信息公开的载体和形式有待丰富和完善</w:t>
      </w:r>
      <w:r>
        <w:rPr>
          <w:rFonts w:hint="eastAsia" w:ascii="方正仿宋_GB2312" w:hAnsi="方正仿宋_GB2312" w:eastAsia="方正仿宋_GB2312" w:cs="方正仿宋_GB2312"/>
          <w:sz w:val="30"/>
          <w:szCs w:val="30"/>
          <w:lang w:eastAsia="zh-CN"/>
        </w:rPr>
        <w:t>，公开的时效性有待提高</w:t>
      </w:r>
      <w:r>
        <w:rPr>
          <w:rFonts w:hint="eastAsia" w:ascii="方正仿宋_GB2312" w:hAnsi="方正仿宋_GB2312" w:eastAsia="方正仿宋_GB2312" w:cs="方正仿宋_GB2312"/>
          <w:sz w:val="30"/>
          <w:szCs w:val="30"/>
        </w:rPr>
        <w:t>。</w:t>
      </w:r>
      <w:r>
        <w:rPr>
          <w:rFonts w:hint="eastAsia" w:ascii="方正仿宋_GB2312" w:hAnsi="方正仿宋_GB2312" w:eastAsia="方正仿宋_GB2312" w:cs="方正仿宋_GB2312"/>
          <w:sz w:val="30"/>
          <w:szCs w:val="30"/>
          <w:lang w:eastAsia="zh-CN"/>
        </w:rPr>
        <w:t>下一步我局</w:t>
      </w:r>
      <w:r>
        <w:rPr>
          <w:rFonts w:hint="eastAsia" w:ascii="方正仿宋_GB2312" w:hAnsi="方正仿宋_GB2312" w:eastAsia="方正仿宋_GB2312" w:cs="方正仿宋_GB2312"/>
          <w:sz w:val="30"/>
          <w:szCs w:val="30"/>
        </w:rPr>
        <w:t>将坚持以习近平新时代中国特色社会主义思想为指导，紧紧围绕</w:t>
      </w:r>
      <w:r>
        <w:rPr>
          <w:rFonts w:hint="eastAsia" w:ascii="方正仿宋_GB2312" w:hAnsi="方正仿宋_GB2312" w:eastAsia="方正仿宋_GB2312" w:cs="方正仿宋_GB2312"/>
          <w:sz w:val="30"/>
          <w:szCs w:val="30"/>
          <w:lang w:eastAsia="zh-CN"/>
        </w:rPr>
        <w:t>贵州省</w:t>
      </w:r>
      <w:r>
        <w:rPr>
          <w:rFonts w:hint="eastAsia" w:ascii="方正仿宋_GB2312" w:hAnsi="方正仿宋_GB2312" w:eastAsia="方正仿宋_GB2312" w:cs="方正仿宋_GB2312"/>
          <w:sz w:val="30"/>
          <w:szCs w:val="30"/>
        </w:rPr>
        <w:t>气象局和</w:t>
      </w:r>
      <w:r>
        <w:rPr>
          <w:rFonts w:hint="eastAsia" w:ascii="方正仿宋_GB2312" w:hAnsi="方正仿宋_GB2312" w:eastAsia="方正仿宋_GB2312" w:cs="方正仿宋_GB2312"/>
          <w:sz w:val="30"/>
          <w:szCs w:val="30"/>
          <w:lang w:eastAsia="zh-CN"/>
        </w:rPr>
        <w:t>州委州政府</w:t>
      </w:r>
      <w:r>
        <w:rPr>
          <w:rFonts w:hint="eastAsia" w:ascii="方正仿宋_GB2312" w:hAnsi="方正仿宋_GB2312" w:eastAsia="方正仿宋_GB2312" w:cs="方正仿宋_GB2312"/>
          <w:sz w:val="30"/>
          <w:szCs w:val="30"/>
        </w:rPr>
        <w:t>决策部署，以及</w:t>
      </w:r>
      <w:r>
        <w:rPr>
          <w:rFonts w:hint="eastAsia" w:ascii="方正仿宋_GB2312" w:hAnsi="方正仿宋_GB2312" w:eastAsia="方正仿宋_GB2312" w:cs="方正仿宋_GB2312"/>
          <w:sz w:val="30"/>
          <w:szCs w:val="30"/>
          <w:lang w:eastAsia="zh-CN"/>
        </w:rPr>
        <w:t>气象强省和黔西南州经济社会</w:t>
      </w:r>
      <w:r>
        <w:rPr>
          <w:rFonts w:hint="eastAsia" w:ascii="方正仿宋_GB2312" w:hAnsi="方正仿宋_GB2312" w:eastAsia="方正仿宋_GB2312" w:cs="方正仿宋_GB2312"/>
          <w:sz w:val="30"/>
          <w:szCs w:val="30"/>
        </w:rPr>
        <w:t>高质量发展需要，不断拓展公开渠道，丰富公开内容，加强政策解读，回应社会关切，增强公开实效，切实推进</w:t>
      </w:r>
      <w:r>
        <w:rPr>
          <w:rFonts w:hint="eastAsia" w:ascii="方正仿宋_GB2312" w:hAnsi="方正仿宋_GB2312" w:eastAsia="方正仿宋_GB2312" w:cs="方正仿宋_GB2312"/>
          <w:sz w:val="30"/>
          <w:szCs w:val="30"/>
          <w:lang w:eastAsia="zh-CN"/>
        </w:rPr>
        <w:t>黔西南州气象局</w:t>
      </w:r>
      <w:r>
        <w:rPr>
          <w:rFonts w:hint="eastAsia" w:ascii="方正仿宋_GB2312" w:hAnsi="方正仿宋_GB2312" w:eastAsia="方正仿宋_GB2312" w:cs="方正仿宋_GB2312"/>
          <w:sz w:val="30"/>
          <w:szCs w:val="30"/>
        </w:rPr>
        <w:t>政府信息公开工作再上新台阶。</w:t>
      </w:r>
    </w:p>
    <w:p>
      <w:p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六、</w:t>
      </w:r>
      <w:r>
        <w:rPr>
          <w:rFonts w:hint="eastAsia" w:ascii="黑体" w:hAnsi="黑体" w:eastAsia="黑体" w:cs="黑体"/>
          <w:sz w:val="32"/>
          <w:szCs w:val="32"/>
        </w:rPr>
        <w:t>其他需要报告的事项</w:t>
      </w:r>
    </w:p>
    <w:p>
      <w:pPr>
        <w:ind w:firstLine="600" w:firstLineChars="2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无</w:t>
      </w:r>
    </w:p>
    <w:p>
      <w:pPr>
        <w:rPr>
          <w:rFonts w:hint="eastAsia"/>
        </w:rPr>
      </w:pPr>
      <w:r>
        <w:rPr>
          <w:rFonts w:hint="eastAsia"/>
        </w:rPr>
        <w:t> </w:t>
      </w:r>
    </w:p>
    <w:p>
      <w:pPr>
        <w:ind w:firstLine="600" w:firstLineChars="200"/>
        <w:rPr>
          <w:rFonts w:hint="eastAsia" w:ascii="方正仿宋_GB2312" w:hAnsi="方正仿宋_GB2312" w:eastAsia="方正仿宋_GB2312" w:cs="方正仿宋_GB2312"/>
          <w:sz w:val="30"/>
          <w:szCs w:val="30"/>
        </w:rPr>
      </w:pPr>
    </w:p>
    <w:p>
      <w:pPr>
        <w:ind w:firstLine="5400" w:firstLineChars="18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lang w:eastAsia="zh-CN"/>
        </w:rPr>
        <w:t>黔西南州</w:t>
      </w:r>
      <w:r>
        <w:rPr>
          <w:rFonts w:hint="eastAsia" w:ascii="方正仿宋_GB2312" w:hAnsi="方正仿宋_GB2312" w:eastAsia="方正仿宋_GB2312" w:cs="方正仿宋_GB2312"/>
          <w:sz w:val="30"/>
          <w:szCs w:val="30"/>
        </w:rPr>
        <w:t>气象局  </w:t>
      </w:r>
    </w:p>
    <w:p>
      <w:pPr>
        <w:ind w:firstLine="5400" w:firstLineChars="1800"/>
        <w:rPr>
          <w:rFonts w:hint="eastAsia" w:ascii="方正仿宋_GB2312" w:hAnsi="方正仿宋_GB2312" w:eastAsia="方正仿宋_GB2312" w:cs="方正仿宋_GB2312"/>
          <w:sz w:val="30"/>
          <w:szCs w:val="30"/>
        </w:rPr>
      </w:pPr>
      <w:r>
        <w:rPr>
          <w:rFonts w:hint="eastAsia" w:ascii="方正仿宋_GB2312" w:hAnsi="方正仿宋_GB2312" w:eastAsia="方正仿宋_GB2312" w:cs="方正仿宋_GB2312"/>
          <w:sz w:val="30"/>
          <w:szCs w:val="30"/>
        </w:rPr>
        <w:t>2022年</w:t>
      </w:r>
      <w:r>
        <w:rPr>
          <w:rFonts w:hint="eastAsia" w:ascii="方正仿宋_GB2312" w:hAnsi="方正仿宋_GB2312" w:eastAsia="方正仿宋_GB2312" w:cs="方正仿宋_GB2312"/>
          <w:sz w:val="30"/>
          <w:szCs w:val="30"/>
          <w:lang w:val="en-US" w:eastAsia="zh-CN"/>
        </w:rPr>
        <w:t>2</w:t>
      </w:r>
      <w:r>
        <w:rPr>
          <w:rFonts w:hint="eastAsia" w:ascii="方正仿宋_GB2312" w:hAnsi="方正仿宋_GB2312" w:eastAsia="方正仿宋_GB2312" w:cs="方正仿宋_GB2312"/>
          <w:sz w:val="30"/>
          <w:szCs w:val="30"/>
        </w:rPr>
        <w:t>月</w:t>
      </w:r>
      <w:r>
        <w:rPr>
          <w:rFonts w:hint="eastAsia" w:ascii="方正仿宋_GB2312" w:hAnsi="方正仿宋_GB2312" w:eastAsia="方正仿宋_GB2312" w:cs="方正仿宋_GB2312"/>
          <w:sz w:val="30"/>
          <w:szCs w:val="30"/>
          <w:lang w:val="en-US" w:eastAsia="zh-CN"/>
        </w:rPr>
        <w:t>10</w:t>
      </w:r>
      <w:r>
        <w:rPr>
          <w:rFonts w:hint="eastAsia" w:ascii="方正仿宋_GB2312" w:hAnsi="方正仿宋_GB2312" w:eastAsia="方正仿宋_GB2312" w:cs="方正仿宋_GB2312"/>
          <w:sz w:val="30"/>
          <w:szCs w:val="30"/>
        </w:rPr>
        <w:t>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1B8E495-58EF-4E0E-BF05-F1C6A400CBC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embedRegular r:id="rId2" w:fontKey="{2A85ABBB-F8B3-4817-A019-13CF7280ABA1}"/>
  </w:font>
  <w:font w:name="楷体">
    <w:panose1 w:val="02010609060101010101"/>
    <w:charset w:val="86"/>
    <w:family w:val="auto"/>
    <w:pitch w:val="default"/>
    <w:sig w:usb0="800002BF" w:usb1="38CF7CFA" w:usb2="00000016" w:usb3="00000000" w:csb0="00040001" w:csb1="00000000"/>
  </w:font>
  <w:font w:name="方正仿宋_GB2312">
    <w:panose1 w:val="02000000000000000000"/>
    <w:charset w:val="86"/>
    <w:family w:val="auto"/>
    <w:pitch w:val="default"/>
    <w:sig w:usb0="A00002BF" w:usb1="184F6CFA" w:usb2="00000012" w:usb3="00000000" w:csb0="00040001" w:csb1="00000000"/>
    <w:embedRegular r:id="rId3" w:fontKey="{A0D6A01C-FAED-47A9-B0FE-2162D3D18F12}"/>
  </w:font>
  <w:font w:name="仿宋_GB2312">
    <w:panose1 w:val="02010609030101010101"/>
    <w:charset w:val="86"/>
    <w:family w:val="modern"/>
    <w:pitch w:val="default"/>
    <w:sig w:usb0="00000001" w:usb1="080E0000" w:usb2="00000000" w:usb3="00000000" w:csb0="00040000" w:csb1="00000000"/>
    <w:embedRegular r:id="rId4" w:fontKey="{80CF695C-6FE8-4178-A68E-275D8853D2D8}"/>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D0726BA"/>
    <w:rsid w:val="41893F22"/>
    <w:rsid w:val="45CD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Administrator.56MZWRGI0IB1M4K.003</dc:creator>
  <cp:lastModifiedBy>眼裡是微風</cp:lastModifiedBy>
  <dcterms:modified xsi:type="dcterms:W3CDTF">2022-02-15T01:56:30Z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CE207D17A3E94EE79A1A75A0C4EDAC36</vt:lpwstr>
  </property>
</Properties>
</file>