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99" w:rsidRDefault="001D7599">
      <w:pPr>
        <w:widowControl/>
        <w:shd w:val="clear" w:color="auto" w:fill="FFFFFF"/>
        <w:spacing w:line="7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黔南州气象局</w:t>
      </w:r>
    </w:p>
    <w:p w:rsidR="00C20139" w:rsidRPr="001D7599" w:rsidRDefault="001D7599" w:rsidP="001D7599">
      <w:pPr>
        <w:widowControl/>
        <w:shd w:val="clear" w:color="auto" w:fill="FFFFFF"/>
        <w:spacing w:line="7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2020年政府信息公开工作年度报告</w:t>
      </w:r>
    </w:p>
    <w:p w:rsidR="00C20139" w:rsidRDefault="00C20139">
      <w:pPr>
        <w:widowControl/>
        <w:shd w:val="clear" w:color="auto" w:fill="FFFFFF"/>
        <w:spacing w:line="760" w:lineRule="exact"/>
        <w:rPr>
          <w:rFonts w:ascii="宋体" w:eastAsia="宋体" w:hAnsi="宋体" w:cs="宋体"/>
          <w:kern w:val="0"/>
          <w:sz w:val="24"/>
          <w:szCs w:val="24"/>
        </w:rPr>
      </w:pP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根据《中华人民共和国政府信息公开条例》《气象部门政府信息公开办法》《贵州省气象部门政府信息公开办法》的有关规定，现将2020年度黔南州气象局（部门）政府信息公开工作情况报告如下：</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报告包括总体情况、主动公开政府信息情况、收到和处理政府信息公开申请情况、政府信息公开行政复议和行政诉讼情况、存在的主要问题及改进情况等五个部分。本年报中所列数据的统计期限自2020年1月1日起至2020年12月31日止。</w:t>
      </w:r>
    </w:p>
    <w:p w:rsidR="00C20139" w:rsidRDefault="001D7599">
      <w:pPr>
        <w:widowControl/>
        <w:shd w:val="clear" w:color="auto" w:fill="FFFFFF"/>
        <w:spacing w:line="576"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一、总体情况</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2020年，黔南州气象局按照《中国气象局办公室关于做好2020年政府信息公开年度报告发布工作的通知》要求，结合黔南州人民政府和贵州省气象局对政府信息公开工作的有关要求进行开展。</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（一）强化组织领导。</w:t>
      </w:r>
      <w:r>
        <w:rPr>
          <w:rFonts w:ascii="仿宋_GB2312" w:eastAsia="仿宋_GB2312" w:hAnsi="仿宋_GB2312" w:cs="仿宋_GB2312" w:hint="eastAsia"/>
          <w:sz w:val="32"/>
          <w:szCs w:val="32"/>
        </w:rPr>
        <w:t>黔南州气象局高度重视政务公开工作，将政府信息公开工作纳入重要议事日程，将州气象局办公室（政策法规科）作为信息公开工作机构，负责落实《气象部门政府信息公开办法》《贵州省气象部门政府信息公开办法》及《贵州省</w:t>
      </w:r>
      <w:r>
        <w:rPr>
          <w:rFonts w:ascii="仿宋_GB2312" w:eastAsia="仿宋_GB2312" w:hAnsi="仿宋_GB2312" w:cs="仿宋_GB2312" w:hint="eastAsia"/>
          <w:sz w:val="32"/>
          <w:szCs w:val="32"/>
        </w:rPr>
        <w:lastRenderedPageBreak/>
        <w:t>气象局政府信息公开指南》等制度规定，扎实、有序地推进全州气象部门政府信息公开工作。</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（二）加强信息公开。</w:t>
      </w:r>
      <w:r>
        <w:rPr>
          <w:rFonts w:ascii="仿宋_GB2312" w:eastAsia="仿宋_GB2312" w:hAnsi="仿宋_GB2312" w:cs="仿宋_GB2312" w:hint="eastAsia"/>
          <w:sz w:val="32"/>
          <w:szCs w:val="32"/>
        </w:rPr>
        <w:t>认真落实有关政府信息公开工作的部署和要求，坚持“防灾减灾，气象先行”的服务理念，按程序和要求及时主动公开各类气象信息。全州各级气象部门官方微信公众号、服务号正常运行，坚持每天维护更新相关信息。通过州人民政府门户网站主动公开每月气候预测和气候评价报告24期，发布公示公告5条,发布部门动态信息2条。</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（三）政府信息公开复议、诉讼情况。</w:t>
      </w:r>
      <w:r>
        <w:rPr>
          <w:rFonts w:ascii="仿宋_GB2312" w:eastAsia="仿宋_GB2312" w:hAnsi="仿宋_GB2312" w:cs="仿宋_GB2312" w:hint="eastAsia"/>
          <w:sz w:val="32"/>
          <w:szCs w:val="32"/>
        </w:rPr>
        <w:t>2020年，涉及黔南州气象局的行政复议0起，行政诉讼0起。</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（四）加强监督检查。</w:t>
      </w:r>
      <w:r>
        <w:rPr>
          <w:rFonts w:ascii="仿宋_GB2312" w:eastAsia="仿宋_GB2312" w:hAnsi="仿宋_GB2312" w:cs="仿宋_GB2312" w:hint="eastAsia"/>
          <w:sz w:val="32"/>
          <w:szCs w:val="32"/>
        </w:rPr>
        <w:t>由州气象局办公室（政策法规科）定期对全州气象部门政府信息公开工作进行监督检查，督促各县（市）气象局按期报告政府信息公开情况。</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（五）政府信息公开会议和培训情况。</w:t>
      </w:r>
      <w:r>
        <w:rPr>
          <w:rFonts w:ascii="仿宋_GB2312" w:eastAsia="仿宋_GB2312" w:hAnsi="仿宋_GB2312" w:cs="仿宋_GB2312" w:hint="eastAsia"/>
          <w:sz w:val="32"/>
          <w:szCs w:val="32"/>
        </w:rPr>
        <w:t>为加强我州气象部门法制队伍建设，强化气象行政执法人员的法治思维，全面提升依法行政能力，进一步推进法治政府建设，于2020年9月举办了1期黔南州气象部门依法行政培训班，接受培训人数为30人次。</w:t>
      </w:r>
    </w:p>
    <w:p w:rsidR="00C20139" w:rsidRDefault="001D7599">
      <w:pPr>
        <w:widowControl/>
        <w:shd w:val="clear" w:color="auto" w:fill="FFFFFF"/>
        <w:spacing w:line="576" w:lineRule="exact"/>
        <w:ind w:firstLineChars="200" w:firstLine="640"/>
        <w:rPr>
          <w:rFonts w:ascii="黑体" w:eastAsia="黑体" w:hAnsi="黑体" w:cs="黑体"/>
          <w:b/>
          <w:bCs/>
          <w:kern w:val="0"/>
          <w:sz w:val="32"/>
          <w:szCs w:val="32"/>
        </w:rPr>
      </w:pPr>
      <w:r>
        <w:rPr>
          <w:rFonts w:ascii="黑体" w:eastAsia="黑体" w:hAnsi="黑体" w:cs="黑体" w:hint="eastAsia"/>
          <w:kern w:val="0"/>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C2013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C20139">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C20139">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20139">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lastRenderedPageBreak/>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20139">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C20139">
        <w:trPr>
          <w:trHeight w:val="634"/>
          <w:jc w:val="center"/>
        </w:trPr>
        <w:tc>
          <w:tcPr>
            <w:tcW w:w="3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C20139">
        <w:trPr>
          <w:trHeight w:val="528"/>
          <w:jc w:val="center"/>
        </w:trPr>
        <w:tc>
          <w:tcPr>
            <w:tcW w:w="3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3</w:t>
            </w:r>
          </w:p>
        </w:tc>
        <w:tc>
          <w:tcPr>
            <w:tcW w:w="12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2</w:t>
            </w:r>
          </w:p>
        </w:tc>
      </w:tr>
      <w:tr w:rsidR="00C20139">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2A3BCA">
            <w:pPr>
              <w:widowControl/>
              <w:jc w:val="center"/>
              <w:rPr>
                <w:rFonts w:ascii="宋体" w:eastAsia="宋体" w:hAnsi="宋体" w:cs="宋体"/>
                <w:kern w:val="0"/>
                <w:sz w:val="24"/>
                <w:szCs w:val="24"/>
              </w:rPr>
            </w:pPr>
            <w:r>
              <w:rPr>
                <w:rFonts w:ascii="宋体" w:eastAsia="宋体" w:hAnsi="宋体" w:cs="宋体" w:hint="eastAsia"/>
                <w:kern w:val="0"/>
                <w:sz w:val="20"/>
                <w:szCs w:val="20"/>
              </w:rPr>
              <w:t>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r>
      <w:tr w:rsidR="00C2013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C2013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C20139">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20139">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2013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C20139">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r>
      <w:tr w:rsidR="00C2013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2013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C20139">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采购总金额</w:t>
            </w:r>
          </w:p>
        </w:tc>
      </w:tr>
      <w:tr w:rsidR="00C20139">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2.88万元</w:t>
            </w:r>
          </w:p>
        </w:tc>
      </w:tr>
    </w:tbl>
    <w:p w:rsidR="00C20139" w:rsidRDefault="00C20139">
      <w:pPr>
        <w:widowControl/>
        <w:shd w:val="clear" w:color="auto" w:fill="FFFFFF"/>
        <w:rPr>
          <w:rFonts w:ascii="宋体" w:eastAsia="宋体" w:hAnsi="宋体" w:cs="宋体"/>
          <w:color w:val="333333"/>
          <w:kern w:val="0"/>
          <w:sz w:val="24"/>
          <w:szCs w:val="24"/>
        </w:rPr>
      </w:pPr>
    </w:p>
    <w:p w:rsidR="00C20139" w:rsidRDefault="001D7599">
      <w:pPr>
        <w:widowControl/>
        <w:shd w:val="clear" w:color="auto" w:fill="FFFFFF"/>
        <w:spacing w:line="576"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二、收到和处理政府信息公开申请情况</w:t>
      </w:r>
    </w:p>
    <w:tbl>
      <w:tblPr>
        <w:tblW w:w="90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16"/>
        <w:gridCol w:w="854"/>
        <w:gridCol w:w="2086"/>
        <w:gridCol w:w="813"/>
        <w:gridCol w:w="755"/>
        <w:gridCol w:w="755"/>
        <w:gridCol w:w="813"/>
        <w:gridCol w:w="973"/>
        <w:gridCol w:w="711"/>
        <w:gridCol w:w="695"/>
      </w:tblGrid>
      <w:tr w:rsidR="00C20139">
        <w:trPr>
          <w:jc w:val="center"/>
        </w:trPr>
        <w:tc>
          <w:tcPr>
            <w:tcW w:w="3556" w:type="dxa"/>
            <w:gridSpan w:val="3"/>
            <w:vMerge w:val="restart"/>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（本列数据的勾稽关系为：第一项加第二项之和，等于第三项加第四项之和）</w:t>
            </w:r>
          </w:p>
        </w:tc>
        <w:tc>
          <w:tcPr>
            <w:tcW w:w="5515" w:type="dxa"/>
            <w:gridSpan w:val="7"/>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C20139">
        <w:trPr>
          <w:jc w:val="center"/>
        </w:trPr>
        <w:tc>
          <w:tcPr>
            <w:tcW w:w="3556" w:type="dxa"/>
            <w:gridSpan w:val="3"/>
            <w:vMerge/>
            <w:tcBorders>
              <w:tl2br w:val="nil"/>
              <w:tr2bl w:val="nil"/>
            </w:tcBorders>
            <w:vAlign w:val="center"/>
          </w:tcPr>
          <w:p w:rsidR="00C20139" w:rsidRDefault="00C20139">
            <w:pPr>
              <w:widowControl/>
              <w:jc w:val="left"/>
              <w:rPr>
                <w:rFonts w:ascii="宋体" w:eastAsia="宋体" w:hAnsi="宋体" w:cs="宋体"/>
                <w:kern w:val="0"/>
                <w:sz w:val="24"/>
                <w:szCs w:val="24"/>
              </w:rPr>
            </w:pPr>
          </w:p>
        </w:tc>
        <w:tc>
          <w:tcPr>
            <w:tcW w:w="813" w:type="dxa"/>
            <w:vMerge w:val="restart"/>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5" w:type="dxa"/>
            <w:vMerge w:val="restart"/>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C20139">
        <w:trPr>
          <w:jc w:val="center"/>
        </w:trPr>
        <w:tc>
          <w:tcPr>
            <w:tcW w:w="3556" w:type="dxa"/>
            <w:gridSpan w:val="3"/>
            <w:vMerge/>
            <w:tcBorders>
              <w:tl2br w:val="nil"/>
              <w:tr2bl w:val="nil"/>
            </w:tcBorders>
            <w:vAlign w:val="center"/>
          </w:tcPr>
          <w:p w:rsidR="00C20139" w:rsidRDefault="00C20139">
            <w:pPr>
              <w:widowControl/>
              <w:jc w:val="left"/>
              <w:rPr>
                <w:rFonts w:ascii="宋体" w:eastAsia="宋体" w:hAnsi="宋体" w:cs="宋体"/>
                <w:kern w:val="0"/>
                <w:sz w:val="24"/>
                <w:szCs w:val="24"/>
              </w:rPr>
            </w:pPr>
          </w:p>
        </w:tc>
        <w:tc>
          <w:tcPr>
            <w:tcW w:w="813" w:type="dxa"/>
            <w:vMerge/>
            <w:tcBorders>
              <w:tl2br w:val="nil"/>
              <w:tr2bl w:val="nil"/>
            </w:tcBorders>
            <w:vAlign w:val="center"/>
          </w:tcPr>
          <w:p w:rsidR="00C20139" w:rsidRDefault="00C20139">
            <w:pPr>
              <w:widowControl/>
              <w:jc w:val="left"/>
              <w:rPr>
                <w:rFonts w:ascii="宋体" w:eastAsia="宋体" w:hAnsi="宋体" w:cs="宋体"/>
                <w:kern w:val="0"/>
                <w:sz w:val="24"/>
                <w:szCs w:val="24"/>
              </w:rPr>
            </w:pPr>
          </w:p>
        </w:tc>
        <w:tc>
          <w:tcPr>
            <w:tcW w:w="755" w:type="dxa"/>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95" w:type="dxa"/>
            <w:vMerge/>
            <w:tcBorders>
              <w:tl2br w:val="nil"/>
              <w:tr2bl w:val="nil"/>
            </w:tcBorders>
            <w:vAlign w:val="center"/>
          </w:tcPr>
          <w:p w:rsidR="00C20139" w:rsidRDefault="00C20139">
            <w:pPr>
              <w:widowControl/>
              <w:jc w:val="left"/>
              <w:rPr>
                <w:rFonts w:ascii="宋体" w:eastAsia="宋体" w:hAnsi="宋体" w:cs="宋体"/>
                <w:kern w:val="0"/>
                <w:sz w:val="24"/>
                <w:szCs w:val="24"/>
              </w:rPr>
            </w:pPr>
          </w:p>
        </w:tc>
      </w:tr>
      <w:tr w:rsidR="00C20139">
        <w:trPr>
          <w:jc w:val="center"/>
        </w:trPr>
        <w:tc>
          <w:tcPr>
            <w:tcW w:w="3556" w:type="dxa"/>
            <w:gridSpan w:val="3"/>
            <w:tcBorders>
              <w:tl2br w:val="nil"/>
              <w:tr2bl w:val="nil"/>
            </w:tcBorders>
            <w:tcMar>
              <w:top w:w="0" w:type="dxa"/>
              <w:left w:w="108" w:type="dxa"/>
              <w:bottom w:w="0" w:type="dxa"/>
              <w:right w:w="108" w:type="dxa"/>
            </w:tcMar>
            <w:vAlign w:val="center"/>
          </w:tcPr>
          <w:p w:rsidR="00C20139" w:rsidRDefault="001D7599">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Borders>
              <w:tl2br w:val="nil"/>
              <w:tr2bl w:val="nil"/>
            </w:tcBorders>
            <w:tcMar>
              <w:top w:w="0" w:type="dxa"/>
              <w:left w:w="108" w:type="dxa"/>
              <w:bottom w:w="0" w:type="dxa"/>
              <w:right w:w="108" w:type="dxa"/>
            </w:tcMar>
            <w:vAlign w:val="center"/>
          </w:tcPr>
          <w:p w:rsidR="00C20139"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C20139"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C20139"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C20139"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C20139"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C20139"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3556" w:type="dxa"/>
            <w:gridSpan w:val="3"/>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val="restart"/>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40" w:type="dxa"/>
            <w:gridSpan w:val="2"/>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t>（一）予以公开</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940" w:type="dxa"/>
            <w:gridSpan w:val="2"/>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val="restart"/>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t>（三）不予公</w:t>
            </w:r>
            <w:r>
              <w:rPr>
                <w:rFonts w:ascii="楷体" w:eastAsia="楷体" w:hAnsi="宋体" w:cs="宋体" w:hint="eastAsia"/>
                <w:kern w:val="0"/>
                <w:sz w:val="20"/>
                <w:szCs w:val="20"/>
              </w:rPr>
              <w:lastRenderedPageBreak/>
              <w:t>开</w:t>
            </w:r>
          </w:p>
        </w:tc>
        <w:tc>
          <w:tcPr>
            <w:tcW w:w="2086" w:type="dxa"/>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lastRenderedPageBreak/>
              <w:t>1.属于国家秘密</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2.其他法律行政法规</w:t>
            </w:r>
            <w:r>
              <w:rPr>
                <w:rFonts w:ascii="楷体" w:eastAsia="楷体" w:hAnsi="宋体" w:cs="宋体" w:hint="eastAsia"/>
                <w:kern w:val="0"/>
                <w:sz w:val="20"/>
                <w:szCs w:val="20"/>
              </w:rPr>
              <w:lastRenderedPageBreak/>
              <w:t>禁止公开</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lastRenderedPageBreak/>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3.危及“三安全一稳定”</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4.保护第三方合法权益</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5.属于三类内部事务信息</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6.属于四类过程性信息</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7.属于行政执法案卷</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8.属于行政查询事项</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val="restart"/>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t>（四）无法提供</w:t>
            </w: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1.本机关不掌握相关政府信息</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2.没有现成信息需要另行制作</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3.补正后申请内容仍不明确</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val="restart"/>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t>（五）不予处理</w:t>
            </w: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1.信访举报投诉类申请</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2.重复申请</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3.要求提供公开出版物</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4.无正当理由大量反复申请</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854"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086" w:type="dxa"/>
            <w:tcBorders>
              <w:tl2br w:val="nil"/>
              <w:tr2bl w:val="nil"/>
            </w:tcBorders>
            <w:tcMar>
              <w:top w:w="0" w:type="dxa"/>
              <w:left w:w="108" w:type="dxa"/>
              <w:bottom w:w="0" w:type="dxa"/>
              <w:right w:w="108" w:type="dxa"/>
            </w:tcMar>
            <w:vAlign w:val="center"/>
          </w:tcPr>
          <w:p w:rsidR="002A3BCA" w:rsidRDefault="002A3BCA">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5.要求行政机关确认或重新出具已获取信息</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940" w:type="dxa"/>
            <w:gridSpan w:val="2"/>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t>（六）其他处理</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616" w:type="dxa"/>
            <w:vMerge/>
            <w:tcBorders>
              <w:tl2br w:val="nil"/>
              <w:tr2bl w:val="nil"/>
            </w:tcBorders>
            <w:vAlign w:val="center"/>
          </w:tcPr>
          <w:p w:rsidR="002A3BCA" w:rsidRDefault="002A3BCA">
            <w:pPr>
              <w:widowControl/>
              <w:jc w:val="left"/>
              <w:rPr>
                <w:rFonts w:ascii="宋体" w:eastAsia="宋体" w:hAnsi="宋体" w:cs="宋体"/>
                <w:kern w:val="0"/>
                <w:sz w:val="24"/>
                <w:szCs w:val="24"/>
              </w:rPr>
            </w:pPr>
          </w:p>
        </w:tc>
        <w:tc>
          <w:tcPr>
            <w:tcW w:w="2940" w:type="dxa"/>
            <w:gridSpan w:val="2"/>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楷体" w:eastAsia="楷体" w:hAnsi="宋体" w:cs="宋体" w:hint="eastAsia"/>
                <w:kern w:val="0"/>
                <w:sz w:val="20"/>
                <w:szCs w:val="20"/>
              </w:rPr>
              <w:t>（七）总计</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2A3BCA">
        <w:trPr>
          <w:jc w:val="center"/>
        </w:trPr>
        <w:tc>
          <w:tcPr>
            <w:tcW w:w="3556" w:type="dxa"/>
            <w:gridSpan w:val="3"/>
            <w:tcBorders>
              <w:tl2br w:val="nil"/>
              <w:tr2bl w:val="nil"/>
            </w:tcBorders>
            <w:tcMar>
              <w:top w:w="0" w:type="dxa"/>
              <w:left w:w="108" w:type="dxa"/>
              <w:bottom w:w="0" w:type="dxa"/>
              <w:right w:w="108" w:type="dxa"/>
            </w:tcMar>
            <w:vAlign w:val="center"/>
          </w:tcPr>
          <w:p w:rsidR="002A3BCA" w:rsidRDefault="002A3BCA">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l2br w:val="nil"/>
              <w:tr2bl w:val="nil"/>
            </w:tcBorders>
            <w:tcMar>
              <w:top w:w="0" w:type="dxa"/>
              <w:left w:w="108" w:type="dxa"/>
              <w:bottom w:w="0" w:type="dxa"/>
              <w:right w:w="108" w:type="dxa"/>
            </w:tcMar>
            <w:vAlign w:val="center"/>
          </w:tcPr>
          <w:p w:rsidR="002A3BCA" w:rsidRDefault="002A3BCA" w:rsidP="00781256">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5" w:type="dxa"/>
            <w:tcBorders>
              <w:tl2br w:val="nil"/>
              <w:tr2bl w:val="nil"/>
            </w:tcBorders>
            <w:tcMar>
              <w:top w:w="0" w:type="dxa"/>
              <w:left w:w="108" w:type="dxa"/>
              <w:bottom w:w="0" w:type="dxa"/>
              <w:right w:w="108" w:type="dxa"/>
            </w:tcMar>
            <w:vAlign w:val="center"/>
          </w:tcPr>
          <w:p w:rsidR="002A3BCA" w:rsidRDefault="002A3BCA">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bl>
    <w:p w:rsidR="00C20139" w:rsidRDefault="00C20139">
      <w:pPr>
        <w:widowControl/>
        <w:shd w:val="clear" w:color="auto" w:fill="FFFFFF"/>
        <w:rPr>
          <w:rFonts w:ascii="宋体" w:eastAsia="宋体" w:hAnsi="宋体" w:cs="宋体"/>
          <w:color w:val="333333"/>
          <w:kern w:val="0"/>
          <w:sz w:val="24"/>
          <w:szCs w:val="24"/>
        </w:rPr>
      </w:pPr>
    </w:p>
    <w:p w:rsidR="00C20139" w:rsidRDefault="001D7599">
      <w:pPr>
        <w:widowControl/>
        <w:shd w:val="clear" w:color="auto" w:fill="FFFFFF"/>
        <w:spacing w:line="576" w:lineRule="exact"/>
        <w:ind w:firstLineChars="200" w:firstLine="640"/>
        <w:rPr>
          <w:rFonts w:ascii="宋体" w:eastAsia="宋体" w:hAnsi="宋体" w:cs="宋体"/>
          <w:color w:val="333333"/>
          <w:kern w:val="0"/>
          <w:sz w:val="24"/>
          <w:szCs w:val="24"/>
        </w:rPr>
      </w:pPr>
      <w:r>
        <w:rPr>
          <w:rFonts w:ascii="黑体" w:eastAsia="黑体" w:hAnsi="黑体" w:cs="黑体" w:hint="eastAsia"/>
          <w:kern w:val="0"/>
          <w:sz w:val="32"/>
          <w:szCs w:val="32"/>
        </w:rPr>
        <w:t>三、政府信息公开行政复议、行政诉讼情况</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C2013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C2013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C20139">
        <w:trPr>
          <w:jc w:val="center"/>
        </w:trPr>
        <w:tc>
          <w:tcPr>
            <w:tcW w:w="604" w:type="dxa"/>
            <w:vMerge/>
            <w:tcBorders>
              <w:top w:val="nil"/>
              <w:left w:val="single" w:sz="8" w:space="0" w:color="auto"/>
              <w:bottom w:val="single" w:sz="8" w:space="0" w:color="auto"/>
              <w:right w:val="single" w:sz="8" w:space="0" w:color="auto"/>
            </w:tcBorders>
            <w:vAlign w:val="center"/>
          </w:tcPr>
          <w:p w:rsidR="00C20139" w:rsidRDefault="00C20139">
            <w:pPr>
              <w:widowControl/>
              <w:jc w:val="left"/>
              <w:rPr>
                <w:rFonts w:ascii="宋体" w:eastAsia="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C20139" w:rsidRDefault="00C20139">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C20139" w:rsidRDefault="00C20139">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C20139" w:rsidRDefault="00C20139">
            <w:pPr>
              <w:widowControl/>
              <w:jc w:val="left"/>
              <w:rPr>
                <w:rFonts w:ascii="宋体" w:eastAsia="宋体"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C20139" w:rsidRDefault="00C20139">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C2013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20139" w:rsidRDefault="001D7599">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C20139" w:rsidRDefault="00C20139">
      <w:pPr>
        <w:widowControl/>
        <w:shd w:val="clear" w:color="auto" w:fill="FFFFFF"/>
        <w:jc w:val="center"/>
        <w:rPr>
          <w:rFonts w:ascii="宋体" w:eastAsia="宋体" w:hAnsi="宋体" w:cs="宋体"/>
          <w:color w:val="333333"/>
          <w:kern w:val="0"/>
          <w:sz w:val="24"/>
          <w:szCs w:val="24"/>
        </w:rPr>
      </w:pPr>
    </w:p>
    <w:p w:rsidR="00C20139" w:rsidRDefault="001D7599">
      <w:pPr>
        <w:widowControl/>
        <w:shd w:val="clear" w:color="auto" w:fill="FFFFFF"/>
        <w:spacing w:line="576"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四、存在的主要问题及改进情况</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1.政府采购信息公开内容还需进一步规范。下一步将完善政府采购信息内容，依</w:t>
      </w:r>
      <w:bookmarkStart w:id="0" w:name="_GoBack"/>
      <w:bookmarkEnd w:id="0"/>
      <w:r>
        <w:rPr>
          <w:rFonts w:ascii="仿宋_GB2312" w:eastAsia="仿宋_GB2312" w:hAnsi="仿宋_GB2312" w:cs="仿宋_GB2312" w:hint="eastAsia"/>
          <w:sz w:val="32"/>
          <w:szCs w:val="32"/>
        </w:rPr>
        <w:t>法依规进行公开。</w:t>
      </w:r>
    </w:p>
    <w:p w:rsidR="00C20139" w:rsidRDefault="001D7599">
      <w:pPr>
        <w:pStyle w:val="a4"/>
        <w:widowControl/>
        <w:spacing w:before="0" w:beforeAutospacing="0" w:after="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shd w:val="clear" w:color="auto" w:fill="FFFFFF"/>
        </w:rPr>
        <w:t>相关政策和法规的宣传贯彻还不够深入。</w:t>
      </w:r>
      <w:r>
        <w:rPr>
          <w:rFonts w:ascii="仿宋_GB2312" w:eastAsia="仿宋_GB2312" w:hAnsi="仿宋_GB2312" w:cs="仿宋_GB2312" w:hint="eastAsia"/>
          <w:sz w:val="32"/>
          <w:szCs w:val="32"/>
        </w:rPr>
        <w:t>部分工作人员对政府信息公开工作不熟悉，日常信息公开统计不规范。下一步将加强相关业务培训和日常监督检查，进一步规范全州气象部门政府信息公开及数据填报工作。</w:t>
      </w:r>
    </w:p>
    <w:p w:rsidR="00C20139" w:rsidRDefault="001D7599">
      <w:pPr>
        <w:widowControl/>
        <w:shd w:val="clear" w:color="auto" w:fill="FFFFFF"/>
        <w:spacing w:line="576"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五、其他需要报告的事项</w:t>
      </w:r>
    </w:p>
    <w:p w:rsidR="00C20139" w:rsidRDefault="001D7599">
      <w:pPr>
        <w:widowControl/>
        <w:shd w:val="clear" w:color="auto" w:fill="FFFFFF"/>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本报告将由贵州省气象局在其官方网站上集中统一发布，向社会进行公开。</w:t>
      </w:r>
    </w:p>
    <w:p w:rsidR="00C20139" w:rsidRDefault="00C20139">
      <w:pPr>
        <w:widowControl/>
        <w:shd w:val="clear" w:color="auto" w:fill="FFFFFF"/>
        <w:spacing w:line="576" w:lineRule="exact"/>
        <w:rPr>
          <w:rFonts w:ascii="仿宋_GB2312" w:eastAsia="仿宋_GB2312" w:hAnsi="仿宋_GB2312" w:cs="仿宋_GB2312"/>
          <w:kern w:val="0"/>
          <w:sz w:val="32"/>
          <w:szCs w:val="32"/>
        </w:rPr>
      </w:pPr>
    </w:p>
    <w:p w:rsidR="00C20139" w:rsidRDefault="00C20139">
      <w:pPr>
        <w:widowControl/>
        <w:shd w:val="clear" w:color="auto" w:fill="FFFFFF"/>
        <w:spacing w:line="576" w:lineRule="exact"/>
        <w:rPr>
          <w:rFonts w:ascii="仿宋_GB2312" w:eastAsia="仿宋_GB2312" w:hAnsi="仿宋_GB2312" w:cs="仿宋_GB2312"/>
          <w:color w:val="333333"/>
          <w:kern w:val="0"/>
          <w:sz w:val="32"/>
          <w:szCs w:val="32"/>
        </w:rPr>
      </w:pPr>
    </w:p>
    <w:p w:rsidR="00C20139" w:rsidRDefault="00C20139">
      <w:pPr>
        <w:widowControl/>
        <w:shd w:val="clear" w:color="auto" w:fill="FFFFFF"/>
        <w:spacing w:line="576" w:lineRule="exact"/>
        <w:rPr>
          <w:rFonts w:ascii="仿宋_GB2312" w:eastAsia="仿宋_GB2312" w:hAnsi="仿宋_GB2312" w:cs="仿宋_GB2312"/>
          <w:color w:val="333333"/>
          <w:kern w:val="0"/>
          <w:sz w:val="32"/>
          <w:szCs w:val="32"/>
        </w:rPr>
      </w:pPr>
    </w:p>
    <w:p w:rsidR="00C20139" w:rsidRDefault="001D7599">
      <w:pPr>
        <w:widowControl/>
        <w:shd w:val="clear" w:color="auto" w:fill="FFFFFF"/>
        <w:spacing w:line="576" w:lineRule="exact"/>
        <w:rPr>
          <w:rFonts w:ascii="仿宋_GB2312" w:eastAsia="仿宋_GB2312" w:hAnsi="仿宋_GB2312" w:cs="仿宋_GB2312"/>
          <w:kern w:val="0"/>
          <w:sz w:val="32"/>
          <w:szCs w:val="32"/>
        </w:rPr>
      </w:pP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hint="eastAsia"/>
          <w:kern w:val="0"/>
          <w:sz w:val="32"/>
          <w:szCs w:val="32"/>
        </w:rPr>
        <w:t xml:space="preserve">  黔南州气象局</w:t>
      </w:r>
    </w:p>
    <w:p w:rsidR="00C20139" w:rsidRDefault="001D7599">
      <w:pPr>
        <w:widowControl/>
        <w:shd w:val="clear" w:color="auto" w:fill="FFFFFF"/>
        <w:spacing w:line="576"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2021年1月25日</w:t>
      </w:r>
    </w:p>
    <w:sectPr w:rsidR="00C20139" w:rsidSect="00C20139">
      <w:pgSz w:w="11906" w:h="16838"/>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1B2EFD"/>
    <w:rsid w:val="001D7599"/>
    <w:rsid w:val="002462EE"/>
    <w:rsid w:val="002A3BCA"/>
    <w:rsid w:val="00606B6C"/>
    <w:rsid w:val="00C20139"/>
    <w:rsid w:val="00F3577A"/>
    <w:rsid w:val="05C37B29"/>
    <w:rsid w:val="0AF30D42"/>
    <w:rsid w:val="0CBA492D"/>
    <w:rsid w:val="0F763ABE"/>
    <w:rsid w:val="101B2EFD"/>
    <w:rsid w:val="164C2792"/>
    <w:rsid w:val="1B5968EA"/>
    <w:rsid w:val="1DC74DD8"/>
    <w:rsid w:val="1F614EDB"/>
    <w:rsid w:val="211C69B5"/>
    <w:rsid w:val="251F2D76"/>
    <w:rsid w:val="25413C9F"/>
    <w:rsid w:val="25945F9B"/>
    <w:rsid w:val="2609515C"/>
    <w:rsid w:val="30EE0A06"/>
    <w:rsid w:val="341D11F9"/>
    <w:rsid w:val="35FC32F3"/>
    <w:rsid w:val="38785971"/>
    <w:rsid w:val="3C4327B3"/>
    <w:rsid w:val="3DBD7796"/>
    <w:rsid w:val="43D057CF"/>
    <w:rsid w:val="448F07E4"/>
    <w:rsid w:val="451C454C"/>
    <w:rsid w:val="4DDE6B21"/>
    <w:rsid w:val="53036C57"/>
    <w:rsid w:val="56862E30"/>
    <w:rsid w:val="5C6324C2"/>
    <w:rsid w:val="5D6E5129"/>
    <w:rsid w:val="60DB6DF6"/>
    <w:rsid w:val="61465B38"/>
    <w:rsid w:val="63324D44"/>
    <w:rsid w:val="66233262"/>
    <w:rsid w:val="66BD102A"/>
    <w:rsid w:val="67E675FD"/>
    <w:rsid w:val="6D3260D8"/>
    <w:rsid w:val="7B454D42"/>
    <w:rsid w:val="7C8101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39"/>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C20139"/>
    <w:pPr>
      <w:widowControl/>
      <w:spacing w:line="560" w:lineRule="exact"/>
      <w:jc w:val="center"/>
      <w:outlineLvl w:val="0"/>
    </w:pPr>
    <w:rPr>
      <w:rFonts w:ascii="方正小标宋简体" w:eastAsia="方正小标宋简体" w:hAnsi="方正小标宋简体" w:cs="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rsid w:val="00C20139"/>
    <w:pPr>
      <w:snapToGrid w:val="0"/>
      <w:jc w:val="left"/>
    </w:pPr>
  </w:style>
  <w:style w:type="paragraph" w:styleId="a4">
    <w:name w:val="Normal (Web)"/>
    <w:basedOn w:val="a"/>
    <w:qFormat/>
    <w:rsid w:val="00C20139"/>
    <w:pPr>
      <w:spacing w:before="100" w:beforeAutospacing="1" w:after="100"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dc:creator>
  <cp:lastModifiedBy>办公室文秘</cp:lastModifiedBy>
  <cp:revision>4</cp:revision>
  <cp:lastPrinted>2020-02-19T01:49:00Z</cp:lastPrinted>
  <dcterms:created xsi:type="dcterms:W3CDTF">2020-02-17T10:05:00Z</dcterms:created>
  <dcterms:modified xsi:type="dcterms:W3CDTF">2021-01-28T02:19:00Z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