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B6629">
      <w:pPr>
        <w:tabs>
          <w:tab w:val="left" w:pos="4845"/>
        </w:tabs>
        <w:rPr>
          <w:rFonts w:ascii="华文楷体" w:hAnsi="华文楷体" w:eastAsia="华文楷体"/>
          <w:sz w:val="32"/>
        </w:rPr>
      </w:pPr>
      <w:r>
        <w:rPr>
          <w:rFonts w:ascii="华文楷体" w:hAnsi="华文楷体" w:eastAsia="华文楷体"/>
          <w:sz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楷体" w:hAnsi="华文楷体" w:eastAsia="华文楷体"/>
          <w:sz w:val="32"/>
        </w:rPr>
        <w:instrText xml:space="preserve">ADDIN CNKISM.UserStyle</w:instrText>
      </w:r>
      <w:r>
        <w:rPr>
          <w:rFonts w:ascii="华文楷体" w:hAnsi="华文楷体" w:eastAsia="华文楷体"/>
          <w:sz w:val="32"/>
        </w:rPr>
        <w:fldChar w:fldCharType="end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271145</wp:posOffset>
            </wp:positionV>
            <wp:extent cx="635000" cy="635000"/>
            <wp:effectExtent l="0" t="0" r="0" b="0"/>
            <wp:wrapNone/>
            <wp:docPr id="13" name="图片 9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未标题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290830</wp:posOffset>
                </wp:positionV>
                <wp:extent cx="5048885" cy="810260"/>
                <wp:effectExtent l="8255" t="14605" r="10160" b="13335"/>
                <wp:wrapNone/>
                <wp:docPr id="1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885" cy="810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2632917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jc w:val="distribute"/>
                              <w:textAlignment w:val="bottom"/>
                              <w:rPr>
                                <w:rFonts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2"/>
                              </w:rPr>
                              <w:t>生态气象遥感信息报告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51.65pt;margin-top:22.9pt;height:63.8pt;width:397.55pt;z-index:251663360;mso-width-relative:page;mso-height-relative:page;" fillcolor="#FFFFFF" filled="t" stroked="t" coordsize="21600,21600" o:gfxdata="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Heumj2QAAAAoBAAAPAAAAAAAAAAEAIAAAACIAAABkcnMvZG93bnJldi54bWxQSwECFAAU&#10;AAAACACHTuJAn0YZs2ICAAACBQAADgAAAAAAAAABACAAAAAoAQAAZHJzL2Uyb0RvYy54bWxQSwUG&#10;AAAAAAYABgBZAQAA/AUAAAAA&#10;">
                <v:fill type="gradient" on="t" color2="#FFFFFF" angle="90" focus="100%" focussize="0,0">
                  <o:fill type="gradientUnscaled" v:ext="backwardCompatible"/>
                </v:fill>
                <v:stroke weight="1.25pt" color="#FFFFFF" miterlimit="8" joinstyle="miter"/>
                <v:imagedata o:title=""/>
                <o:lock v:ext="edit" aspectratio="f"/>
                <v:textbox>
                  <w:txbxContent>
                    <w:p w14:paraId="62632917">
                      <w:pPr>
                        <w:widowControl/>
                        <w:autoSpaceDE w:val="0"/>
                        <w:autoSpaceDN w:val="0"/>
                        <w:snapToGrid w:val="0"/>
                        <w:jc w:val="distribute"/>
                        <w:textAlignment w:val="bottom"/>
                        <w:rPr>
                          <w:rFonts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4"/>
                        </w:rPr>
                      </w:pPr>
                      <w:r>
                        <w:rPr>
                          <w:rFonts w:hint="eastAsia"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2"/>
                        </w:rPr>
                        <w:t>生态气象遥感信息报告</w:t>
                      </w:r>
                    </w:p>
                  </w:txbxContent>
                </v:textbox>
              </v:shape>
            </w:pict>
          </mc:Fallback>
        </mc:AlternateContent>
      </w:r>
    </w:p>
    <w:p w14:paraId="296B5AF9">
      <w:pPr>
        <w:jc w:val="center"/>
        <w:rPr>
          <w:rFonts w:ascii="华文楷体" w:hAnsi="华文楷体" w:eastAsia="华文楷体"/>
          <w:sz w:val="32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466725</wp:posOffset>
                </wp:positionV>
                <wp:extent cx="1435735" cy="380365"/>
                <wp:effectExtent l="0" t="0" r="2540" b="635"/>
                <wp:wrapNone/>
                <wp:docPr id="1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73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08A6F1">
                            <w:pPr>
                              <w:snapToGrid w:val="0"/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iCs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iCs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人民至上 生命至上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-40.5pt;margin-top:36.75pt;height:29.95pt;width:113.05pt;z-index:251665408;mso-width-relative:page;mso-height-relative:page;" filled="f" stroked="f" coordsize="21600,21600" o:gfxdata="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6ygxTcAAAACgEAAA8AAAAAAAAAAQAgAAAAIgAA&#10;AGRycy9kb3ducmV2LnhtbFBLAQIUABQAAAAIAIdO4kBjqaw+BAIAAAwEAAAOAAAAAAAAAAEAIAAA&#10;ACs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08A6F1">
                      <w:pPr>
                        <w:snapToGrid w:val="0"/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iCs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iCs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人民至上 生命至上</w:t>
                      </w:r>
                    </w:p>
                  </w:txbxContent>
                </v:textbox>
              </v:rect>
            </w:pict>
          </mc:Fallback>
        </mc:AlternateContent>
      </w:r>
    </w:p>
    <w:p w14:paraId="6E207781">
      <w:pPr>
        <w:jc w:val="center"/>
        <w:rPr>
          <w:rFonts w:ascii="华文楷体" w:hAnsi="华文楷体" w:eastAsia="华文楷体"/>
          <w:sz w:val="32"/>
        </w:rPr>
      </w:pPr>
    </w:p>
    <w:p w14:paraId="2351FCC5">
      <w:pPr>
        <w:pStyle w:val="10"/>
        <w:ind w:firstLine="3465" w:firstLineChars="1650"/>
        <w:rPr>
          <w:rFonts w:ascii="楷体_GB2312" w:eastAsia="楷体_GB2312"/>
          <w:color w:val="000000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371475</wp:posOffset>
                </wp:positionV>
                <wp:extent cx="2095500" cy="433705"/>
                <wp:effectExtent l="1905" t="0" r="0" b="4445"/>
                <wp:wrapNone/>
                <wp:docPr id="10" name="Text Box 6" descr="16a9caac898d4c45bdb05b833690b220# #文本框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F5A46">
                            <w:pPr>
                              <w:jc w:val="left"/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"/>
                                <w:w w:val="74"/>
                                <w:kern w:val="0"/>
                                <w:sz w:val="32"/>
                                <w:szCs w:val="32"/>
                                <w:fitText w:val="2879" w:id="74927748"/>
                              </w:rPr>
                              <w:t>贵州省生态与农业气象中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9"/>
                                <w:w w:val="74"/>
                                <w:kern w:val="0"/>
                                <w:sz w:val="32"/>
                                <w:szCs w:val="32"/>
                                <w:fitText w:val="2879" w:id="74927748"/>
                              </w:rPr>
                              <w:t>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alt="16a9caac898d4c45bdb05b833690b220# #文本框 1033" type="#_x0000_t202" style="position:absolute;left:0pt;margin-left:-21.6pt;margin-top:29.25pt;height:34.15pt;width:165pt;z-index:251662336;mso-width-relative:page;mso-height-relative:page;" filled="f" stroked="f" coordsize="21600,21600" o:gfxdata="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KxwIXXAAAACgEAAA8AAAAAAAAAAQAgAAAAIgAA&#10;AGRycy9kb3ducmV2LnhtbFBLAQIUABQAAAAIAIdO4kDxZTlBQgIAAE8EAAAOAAAAAAAAAAEAIAAA&#10;ACYBAABkcnMvZTJvRG9jLnhtbFBLBQYAAAAABgAGAFkBAADa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E1F5A46">
                      <w:pPr>
                        <w:jc w:val="left"/>
                      </w:pP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"/>
                          <w:w w:val="74"/>
                          <w:kern w:val="0"/>
                          <w:sz w:val="32"/>
                          <w:szCs w:val="32"/>
                          <w:fitText w:val="2879" w:id="74927748"/>
                        </w:rPr>
                        <w:t>贵州省生态与农业气象中</w:t>
                      </w: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9"/>
                          <w:w w:val="74"/>
                          <w:kern w:val="0"/>
                          <w:sz w:val="32"/>
                          <w:szCs w:val="32"/>
                          <w:fitText w:val="2879" w:id="74927748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367665</wp:posOffset>
                </wp:positionV>
                <wp:extent cx="1651000" cy="400050"/>
                <wp:effectExtent l="1905" t="0" r="4445" b="3810"/>
                <wp:wrapNone/>
                <wp:docPr id="9" name="Text Box 4" descr="9309e72dd38c406fb2dfbf7996e3c7fd# #文本框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1896B">
                            <w:r>
                              <w:rPr>
                                <w:rFonts w:ascii="仿宋_GB2312" w:hAnsi="仿宋_GB2312" w:eastAsia="仿宋_GB2312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签发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曹志建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alt="9309e72dd38c406fb2dfbf7996e3c7fd# #文本框 1032" type="#_x0000_t202" style="position:absolute;left:0pt;margin-left:143.4pt;margin-top:28.95pt;height:31.5pt;width:130pt;z-index:251660288;mso-width-relative:page;mso-height-relative:page;" filled="f" stroked="f" coordsize="21600,21600" o:gfxdata="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q9wKX1wAAAAoBAAAPAAAAAAAAAAEAIAAAACIAAABk&#10;cnMvZG93bnJldi54bWxQSwECFAAUAAAACACHTuJAkkNKTEACAABOBAAADgAAAAAAAAABACAAAAAm&#10;AQAAZHJzL2Uyb0RvYy54bWxQSwUGAAAAAAYABgBZAQAA2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791896B">
                      <w:r>
                        <w:rPr>
                          <w:rFonts w:ascii="仿宋_GB2312" w:hAnsi="仿宋_GB2312" w:eastAsia="仿宋_GB2312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签发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: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曹志建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383540</wp:posOffset>
                </wp:positionV>
                <wp:extent cx="2345055" cy="434975"/>
                <wp:effectExtent l="0" t="2540" r="1905" b="635"/>
                <wp:wrapNone/>
                <wp:docPr id="8" name="Text Box 5" descr="17369ccfe6704a8f9f4cecc2bba95cdf# #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E3488">
                            <w:pPr>
                              <w:jc w:val="right"/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年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月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alt="17369ccfe6704a8f9f4cecc2bba95cdf# #文本框 1034" type="#_x0000_t202" style="position:absolute;left:0pt;margin-left:274.95pt;margin-top:30.2pt;height:34.25pt;width:184.65pt;z-index:251661312;mso-width-relative:page;mso-height-relative:page;" filled="f" stroked="f" coordsize="21600,21600" o:gfxdata="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b69UtYAAAAKAQAADwAAAAAAAAABACAAAAAiAAAA&#10;ZHJzL2Rvd25yZXYueG1sUEsBAhQAFAAAAAgAh07iQLDgscxCAgAATgQAAA4AAAAAAAAAAQAgAAAA&#10;JQEAAGRycy9lMm9Eb2MueG1sUEsFBgAAAAAGAAYAWQEAAN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4CE3488">
                      <w:pPr>
                        <w:jc w:val="right"/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</w:pP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>20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2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年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月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color w:val="000000"/>
          <w:sz w:val="32"/>
          <w:szCs w:val="32"/>
        </w:rPr>
        <w:t>2025</w:t>
      </w:r>
      <w:r>
        <w:rPr>
          <w:rFonts w:hint="eastAsia" w:ascii="楷体_GB2312" w:eastAsia="楷体_GB2312"/>
          <w:color w:val="000000"/>
          <w:sz w:val="32"/>
          <w:szCs w:val="32"/>
        </w:rPr>
        <w:t>年第</w:t>
      </w:r>
      <w:r>
        <w:rPr>
          <w:rFonts w:hint="eastAsia" w:ascii="宋体" w:hAnsi="宋体" w:eastAsia="楷体_GB2312" w:cs="宋体"/>
          <w:color w:val="000000"/>
          <w:sz w:val="32"/>
          <w:szCs w:val="32"/>
          <w:lang w:val="en-US" w:eastAsia="zh-CN"/>
        </w:rPr>
        <w:t>35</w:t>
      </w:r>
      <w:r>
        <w:rPr>
          <w:rFonts w:hint="eastAsia" w:ascii="楷体_GB2312" w:eastAsia="楷体_GB2312"/>
          <w:color w:val="000000"/>
          <w:sz w:val="32"/>
          <w:szCs w:val="32"/>
        </w:rPr>
        <w:t>期</w:t>
      </w:r>
    </w:p>
    <w:p w14:paraId="7D1C4019">
      <w:pPr>
        <w:jc w:val="center"/>
      </w:pPr>
    </w:p>
    <w:p w14:paraId="0CC543AC">
      <w:pPr>
        <w:widowControl/>
        <w:jc w:val="center"/>
        <w:rPr>
          <w:rFonts w:ascii="宋体" w:cs="宋体"/>
          <w:color w:val="000000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187960</wp:posOffset>
                </wp:positionV>
                <wp:extent cx="6144260" cy="13970"/>
                <wp:effectExtent l="14605" t="16510" r="22860" b="17145"/>
                <wp:wrapNone/>
                <wp:docPr id="7" name="AutoShape 2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260" cy="13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alt="f62d7c67d1c14a088e911844e6fcd017# #直接连接符 1035" type="#_x0000_t32" style="position:absolute;left:0pt;margin-left:-22.85pt;margin-top:14.8pt;height:1.1pt;width:483.8pt;z-index:-251657216;mso-width-relative:page;mso-height-relative:page;" filled="f" stroked="t" coordsize="21600,21600" o:gfxdata="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2Yy6&#10;utgAAAAJAQAADwAAAAAAAAABACAAAAAiAAAAZHJzL2Rvd25yZXYueG1sUEsBAhQAFAAAAAgAh07i&#10;QNSh8/YiAgAA9wMAAA4AAAAAAAAAAQAgAAAAJwEAAGRycy9lMm9Eb2MueG1sUEsFBgAAAAAGAAYA&#10;WQEAALsFAAAAAA=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4A8B29B1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44"/>
          <w:szCs w:val="44"/>
        </w:rPr>
      </w:pPr>
    </w:p>
    <w:p w14:paraId="058C251F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黑体" w:hAnsi="黑体" w:eastAsia="黑体" w:cs="微软雅黑"/>
          <w:bCs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</w:rPr>
        <w:t>贵州省威宁草海保护区</w:t>
      </w: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  <w:lang w:val="en-US" w:eastAsia="zh-CN"/>
        </w:rPr>
        <w:t>8</w:t>
      </w: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</w:rPr>
        <w:t>月遥感监测评估</w:t>
      </w:r>
      <w:bookmarkStart w:id="0" w:name="_GoBack"/>
      <w:bookmarkEnd w:id="0"/>
    </w:p>
    <w:p w14:paraId="6018A46D">
      <w:pPr>
        <w:widowControl/>
        <w:tabs>
          <w:tab w:val="left" w:pos="4144"/>
        </w:tabs>
        <w:spacing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0"/>
          <w:szCs w:val="30"/>
        </w:rPr>
      </w:pPr>
    </w:p>
    <w:p w14:paraId="6C4CD342">
      <w:pPr>
        <w:spacing w:line="520" w:lineRule="exact"/>
        <w:ind w:firstLine="643" w:firstLineChars="200"/>
        <w:rPr>
          <w:rFonts w:hint="default" w:ascii="Times New Roman" w:hAnsi="Times New Roman" w:eastAsia="华文楷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>摘 要</w:t>
      </w:r>
      <w:r>
        <w:rPr>
          <w:rFonts w:hint="default" w:ascii="Times New Roman" w:hAnsi="Times New Roman" w:eastAsia="华文楷体" w:cs="Times New Roman"/>
          <w:sz w:val="32"/>
          <w:szCs w:val="32"/>
        </w:rPr>
        <w:t>：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2025年</w:t>
      </w:r>
      <w:r>
        <w:rPr>
          <w:rFonts w:hint="eastAsia" w:eastAsia="华文楷体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月威宁的平均气温</w:t>
      </w:r>
      <w:r>
        <w:rPr>
          <w:rFonts w:hint="eastAsia" w:eastAsia="华文楷体" w:cs="Times New Roman"/>
          <w:color w:val="auto"/>
          <w:sz w:val="32"/>
          <w:szCs w:val="32"/>
          <w:lang w:val="en-US" w:eastAsia="zh-CN"/>
        </w:rPr>
        <w:t>较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常年</w:t>
      </w:r>
      <w:r>
        <w:rPr>
          <w:rFonts w:hint="eastAsia" w:eastAsia="华文楷体" w:cs="Times New Roman"/>
          <w:color w:val="auto"/>
          <w:sz w:val="32"/>
          <w:szCs w:val="32"/>
          <w:lang w:val="en-US" w:eastAsia="zh-CN"/>
        </w:rPr>
        <w:t>偏高0.7℃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，降水较常年偏</w:t>
      </w:r>
      <w:r>
        <w:rPr>
          <w:rFonts w:hint="eastAsia" w:ascii="Times New Roman" w:hAnsi="Times New Roman" w:eastAsia="华文楷体" w:cs="Times New Roman"/>
          <w:color w:val="auto"/>
          <w:sz w:val="32"/>
          <w:szCs w:val="32"/>
          <w:lang w:val="en-US" w:eastAsia="zh-CN"/>
        </w:rPr>
        <w:t>少16.1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毫米；草海保护区高分卫星影像表明水域面积为</w:t>
      </w:r>
      <w:r>
        <w:rPr>
          <w:rFonts w:hint="eastAsia" w:ascii="Times New Roman" w:hAnsi="Times New Roman" w:eastAsia="华文楷体" w:cs="Times New Roman"/>
          <w:color w:val="auto"/>
          <w:sz w:val="32"/>
          <w:szCs w:val="32"/>
          <w:lang w:val="en-US" w:eastAsia="zh-CN"/>
        </w:rPr>
        <w:t>20.46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平方公里（不含纯水草区），</w:t>
      </w:r>
      <w:r>
        <w:rPr>
          <w:rFonts w:hint="eastAsia" w:ascii="Times New Roman" w:hAnsi="Times New Roman" w:eastAsia="华文楷体" w:cs="Times New Roman"/>
          <w:color w:val="auto"/>
          <w:sz w:val="32"/>
          <w:szCs w:val="32"/>
          <w:lang w:val="en-US" w:eastAsia="zh-CN"/>
        </w:rPr>
        <w:t>较上月略有降低</w:t>
      </w:r>
      <w:r>
        <w:rPr>
          <w:rFonts w:hint="default" w:ascii="Times New Roman" w:hAnsi="Times New Roman" w:eastAsia="华文楷体" w:cs="Times New Roman"/>
          <w:color w:val="auto"/>
          <w:sz w:val="32"/>
          <w:szCs w:val="32"/>
        </w:rPr>
        <w:t>。</w:t>
      </w:r>
    </w:p>
    <w:p w14:paraId="28721B00">
      <w:pPr>
        <w:spacing w:before="312" w:beforeLines="100" w:after="156" w:afterLines="50" w:line="560" w:lineRule="exact"/>
        <w:jc w:val="left"/>
        <w:rPr>
          <w:rFonts w:hint="default" w:ascii="Times New Roman" w:hAnsi="Times New Roman" w:eastAsia="黑体" w:cs="Times New Roman"/>
          <w:w w:val="80"/>
          <w:sz w:val="28"/>
          <w:szCs w:val="28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一、本月天气概况</w:t>
      </w:r>
    </w:p>
    <w:p w14:paraId="53822FB0">
      <w:pPr>
        <w:tabs>
          <w:tab w:val="left" w:pos="720"/>
        </w:tabs>
        <w:spacing w:line="288" w:lineRule="auto"/>
        <w:ind w:firstLine="643" w:firstLineChars="200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b/>
          <w:sz w:val="32"/>
          <w:szCs w:val="32"/>
        </w:rPr>
        <w:t>1.</w:t>
      </w:r>
      <w:r>
        <w:rPr>
          <w:rFonts w:hint="default" w:ascii="Times New Roman" w:hAnsi="Times New Roman" w:eastAsia="楷体_GB2312" w:cs="Times New Roman"/>
          <w:b/>
          <w:sz w:val="32"/>
          <w:szCs w:val="32"/>
        </w:rPr>
        <w:t>气温</w:t>
      </w:r>
    </w:p>
    <w:p w14:paraId="13C2D94D">
      <w:pPr>
        <w:tabs>
          <w:tab w:val="left" w:pos="720"/>
        </w:tabs>
        <w:spacing w:line="288" w:lineRule="auto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2025年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月威宁平均气温为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18.6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℃，与常年（2000～2024年）相比偏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高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.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℃。</w:t>
      </w:r>
    </w:p>
    <w:p w14:paraId="389ECB06">
      <w:pPr>
        <w:tabs>
          <w:tab w:val="left" w:pos="720"/>
        </w:tabs>
        <w:spacing w:line="288" w:lineRule="auto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drawing>
          <wp:inline distT="0" distB="0" distL="114300" distR="114300">
            <wp:extent cx="5273675" cy="2305685"/>
            <wp:effectExtent l="4445" t="4445" r="5080" b="13970"/>
            <wp:docPr id="1181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E0E7A06">
      <w:pPr>
        <w:tabs>
          <w:tab w:val="left" w:pos="720"/>
        </w:tabs>
        <w:spacing w:line="288" w:lineRule="auto"/>
        <w:jc w:val="center"/>
        <w:rPr>
          <w:rFonts w:hint="eastAsia" w:ascii="Times New Roman" w:hAnsi="Times New Roman" w:eastAsia="仿宋_GB2312" w:cs="Times New Roman"/>
          <w:b/>
          <w:sz w:val="24"/>
          <w:szCs w:val="28"/>
          <w:lang w:eastAsia="zh-CN"/>
        </w:rPr>
      </w:pPr>
    </w:p>
    <w:p w14:paraId="13A5144F">
      <w:pPr>
        <w:tabs>
          <w:tab w:val="left" w:pos="720"/>
        </w:tabs>
        <w:spacing w:line="288" w:lineRule="auto"/>
        <w:jc w:val="center"/>
        <w:rPr>
          <w:rFonts w:hint="default" w:ascii="Times New Roman" w:hAnsi="Times New Roman" w:eastAsia="仿宋_GB2312" w:cs="Times New Roman"/>
          <w:b/>
          <w:sz w:val="24"/>
          <w:szCs w:val="28"/>
        </w:rPr>
      </w:pPr>
      <w:r>
        <w:rPr>
          <w:rFonts w:hint="default" w:ascii="Times New Roman" w:hAnsi="Times New Roman" w:eastAsia="仿宋_GB2312" w:cs="Times New Roman"/>
          <w:b/>
          <w:sz w:val="24"/>
          <w:szCs w:val="28"/>
        </w:rPr>
        <w:t>图1 威宁历年</w:t>
      </w:r>
      <w:r>
        <w:rPr>
          <w:rFonts w:hint="eastAsia" w:eastAsia="仿宋_GB2312" w:cs="Times New Roman"/>
          <w:b/>
          <w:sz w:val="24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/>
          <w:sz w:val="24"/>
          <w:szCs w:val="28"/>
        </w:rPr>
        <w:t>月平均气温</w:t>
      </w:r>
    </w:p>
    <w:p w14:paraId="5CC3936F">
      <w:pPr>
        <w:spacing w:line="360" w:lineRule="auto"/>
        <w:jc w:val="center"/>
        <w:rPr>
          <w:rFonts w:hint="default" w:ascii="Times New Roman" w:hAnsi="Times New Roman" w:eastAsia="仿宋_GB2312" w:cs="Times New Roman"/>
          <w:b/>
          <w:sz w:val="24"/>
          <w:szCs w:val="28"/>
        </w:rPr>
      </w:pPr>
    </w:p>
    <w:p w14:paraId="2C362513">
      <w:pPr>
        <w:tabs>
          <w:tab w:val="left" w:pos="720"/>
        </w:tabs>
        <w:spacing w:line="288" w:lineRule="auto"/>
        <w:ind w:firstLine="643" w:firstLineChars="200"/>
        <w:rPr>
          <w:rFonts w:hint="default" w:ascii="Times New Roman" w:hAnsi="Times New Roman" w:eastAsia="楷体_GB2312" w:cs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b/>
          <w:sz w:val="32"/>
          <w:szCs w:val="32"/>
        </w:rPr>
        <w:t>2.</w:t>
      </w:r>
      <w:r>
        <w:rPr>
          <w:rFonts w:hint="default" w:ascii="Times New Roman" w:hAnsi="Times New Roman" w:eastAsia="楷体_GB2312" w:cs="Times New Roman"/>
          <w:b/>
          <w:sz w:val="32"/>
          <w:szCs w:val="32"/>
        </w:rPr>
        <w:t>降水</w:t>
      </w:r>
    </w:p>
    <w:p w14:paraId="7276A4A1">
      <w:pPr>
        <w:tabs>
          <w:tab w:val="left" w:pos="720"/>
        </w:tabs>
        <w:spacing w:line="288" w:lineRule="auto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2025年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月威宁的降水量为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132.1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毫米，较常年（2000～2024年）偏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少16.1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毫米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，比上月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略多8.0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毫米。</w:t>
      </w:r>
    </w:p>
    <w:p w14:paraId="4F0AD3C0">
      <w:pPr>
        <w:tabs>
          <w:tab w:val="left" w:pos="720"/>
        </w:tabs>
        <w:spacing w:line="288" w:lineRule="auto"/>
        <w:jc w:val="center"/>
        <w:rPr>
          <w:rFonts w:hint="eastAsia" w:ascii="Times New Roman" w:hAnsi="Times New Roman" w:eastAsia="宋体" w:cs="Times New Roman"/>
          <w:lang w:eastAsia="zh-CN"/>
        </w:rPr>
      </w:pPr>
    </w:p>
    <w:p w14:paraId="58E3B8EC">
      <w:pPr>
        <w:tabs>
          <w:tab w:val="left" w:pos="720"/>
        </w:tabs>
        <w:spacing w:line="288" w:lineRule="auto"/>
        <w:jc w:val="center"/>
        <w:rPr>
          <w:rFonts w:hint="eastAsia" w:ascii="Times New Roman" w:hAnsi="Times New Roman" w:eastAsia="宋体" w:cs="Times New Roman"/>
          <w:lang w:eastAsia="zh-CN"/>
        </w:rPr>
      </w:pPr>
      <w:r>
        <w:drawing>
          <wp:inline distT="0" distB="0" distL="114300" distR="114300">
            <wp:extent cx="5518150" cy="2505075"/>
            <wp:effectExtent l="6350" t="6350" r="12700" b="15875"/>
            <wp:docPr id="1182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66040F2">
      <w:pPr>
        <w:spacing w:line="360" w:lineRule="auto"/>
        <w:jc w:val="center"/>
        <w:rPr>
          <w:rFonts w:hint="default" w:ascii="Times New Roman" w:hAnsi="Times New Roman" w:eastAsia="仿宋_GB2312" w:cs="Times New Roman"/>
          <w:b/>
          <w:sz w:val="24"/>
          <w:szCs w:val="28"/>
        </w:rPr>
      </w:pP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eastAsia="仿宋_GB2312" w:cs="Times New Roman"/>
          <w:b/>
          <w:sz w:val="24"/>
          <w:szCs w:val="28"/>
        </w:rPr>
        <w:t>图2 威宁历年</w:t>
      </w:r>
      <w:r>
        <w:rPr>
          <w:rFonts w:hint="eastAsia" w:eastAsia="仿宋_GB2312" w:cs="Times New Roman"/>
          <w:b/>
          <w:sz w:val="24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/>
          <w:sz w:val="24"/>
          <w:szCs w:val="28"/>
        </w:rPr>
        <w:t>月降水量</w:t>
      </w:r>
    </w:p>
    <w:p w14:paraId="475B4CA3">
      <w:pPr>
        <w:spacing w:before="312" w:beforeLines="100" w:after="156" w:afterLines="50" w:line="560" w:lineRule="exact"/>
        <w:jc w:val="left"/>
        <w:rPr>
          <w:rFonts w:hint="default" w:ascii="Times New Roman" w:hAnsi="Times New Roman" w:eastAsia="黑体" w:cs="Times New Roman"/>
          <w:w w:val="80"/>
          <w:sz w:val="28"/>
          <w:szCs w:val="28"/>
          <w:highlight w:val="none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</w:rPr>
        <w:t>二、水体遥感监测</w:t>
      </w:r>
    </w:p>
    <w:p w14:paraId="6BC32A5A">
      <w:pPr>
        <w:tabs>
          <w:tab w:val="left" w:pos="720"/>
        </w:tabs>
        <w:spacing w:line="288" w:lineRule="auto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根据2025年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05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日GF-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号（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WFV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）卫星影像遥感监测（图3）：2025年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月草海保护区水体面积为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20.46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平方公里（不含纯水草区），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较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月（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20.76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平方公里）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略有减少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。</w:t>
      </w:r>
    </w:p>
    <w:p w14:paraId="32B30D78">
      <w:pPr>
        <w:widowControl/>
        <w:jc w:val="center"/>
        <w:rPr>
          <w:rFonts w:ascii="宋体" w:hAnsi="宋体" w:eastAsia="宋体" w:cs="宋体"/>
          <w:sz w:val="24"/>
          <w:szCs w:val="24"/>
        </w:rPr>
      </w:pPr>
    </w:p>
    <w:p w14:paraId="4E2B020E">
      <w:pPr>
        <w:widowControl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804285" cy="30841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55F86">
      <w:pPr>
        <w:spacing w:line="360" w:lineRule="auto"/>
        <w:jc w:val="center"/>
        <w:rPr>
          <w:rFonts w:eastAsia="仿宋_GB2312"/>
          <w:b/>
          <w:sz w:val="24"/>
          <w:szCs w:val="28"/>
        </w:rPr>
      </w:pPr>
      <w:r>
        <w:rPr>
          <w:rFonts w:hint="eastAsia" w:eastAsia="仿宋_GB2312"/>
          <w:b/>
          <w:sz w:val="24"/>
          <w:szCs w:val="28"/>
        </w:rPr>
        <w:t>图</w:t>
      </w:r>
      <w:r>
        <w:rPr>
          <w:rFonts w:eastAsia="仿宋_GB2312"/>
          <w:b/>
          <w:sz w:val="24"/>
          <w:szCs w:val="28"/>
        </w:rPr>
        <w:t xml:space="preserve">3 </w:t>
      </w:r>
      <w:r>
        <w:rPr>
          <w:rFonts w:hint="eastAsia" w:eastAsia="仿宋_GB2312"/>
          <w:b/>
          <w:sz w:val="24"/>
          <w:szCs w:val="28"/>
        </w:rPr>
        <w:t xml:space="preserve"> 20</w:t>
      </w:r>
      <w:r>
        <w:rPr>
          <w:rFonts w:eastAsia="仿宋_GB2312"/>
          <w:b/>
          <w:sz w:val="24"/>
          <w:szCs w:val="28"/>
        </w:rPr>
        <w:t>2</w:t>
      </w:r>
      <w:r>
        <w:rPr>
          <w:rFonts w:hint="eastAsia" w:eastAsia="仿宋_GB2312"/>
          <w:b/>
          <w:sz w:val="24"/>
          <w:szCs w:val="28"/>
        </w:rPr>
        <w:t>5年</w:t>
      </w:r>
      <w:r>
        <w:rPr>
          <w:rFonts w:hint="eastAsia" w:eastAsia="仿宋_GB2312"/>
          <w:b/>
          <w:sz w:val="24"/>
          <w:szCs w:val="28"/>
          <w:lang w:val="en-US" w:eastAsia="zh-CN"/>
        </w:rPr>
        <w:t>8</w:t>
      </w:r>
      <w:r>
        <w:rPr>
          <w:rFonts w:hint="eastAsia" w:eastAsia="仿宋_GB2312"/>
          <w:b/>
          <w:sz w:val="24"/>
          <w:szCs w:val="28"/>
        </w:rPr>
        <w:t>月草海（不含纯水草区）遥感监测图</w:t>
      </w:r>
    </w:p>
    <w:p w14:paraId="2A042EB4">
      <w:pPr>
        <w:spacing w:before="312" w:beforeLines="100" w:after="156" w:afterLines="50"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</w:t>
      </w:r>
      <w:r>
        <w:rPr>
          <w:rFonts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</w:rPr>
        <w:t>2025年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/>
          <w:sz w:val="32"/>
          <w:szCs w:val="32"/>
        </w:rPr>
        <w:t>月水体</w:t>
      </w:r>
      <w:r>
        <w:rPr>
          <w:rFonts w:ascii="黑体" w:hAnsi="黑体" w:eastAsia="黑体"/>
          <w:sz w:val="32"/>
          <w:szCs w:val="32"/>
        </w:rPr>
        <w:t>面积趋势预测</w:t>
      </w:r>
    </w:p>
    <w:p w14:paraId="3E17E410">
      <w:pPr>
        <w:tabs>
          <w:tab w:val="left" w:pos="720"/>
        </w:tabs>
        <w:spacing w:line="288" w:lineRule="auto"/>
        <w:ind w:firstLine="640" w:firstLineChars="200"/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根据贵州省气象局《气象信息月报》</w:t>
      </w:r>
      <w:r>
        <w:rPr>
          <w:rFonts w:hint="eastAsia" w:eastAsia="仿宋_GB2312" w:cs="Times New Roman"/>
          <w:bCs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月天气气候概况及未来趋势预测，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</w:rPr>
        <w:t>预计2025年</w:t>
      </w:r>
      <w:r>
        <w:rPr>
          <w:rFonts w:hint="eastAsia" w:eastAsia="仿宋_GB2312" w:cs="Times New Roman"/>
          <w:bCs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</w:rPr>
        <w:t>月</w:t>
      </w:r>
      <w:r>
        <w:rPr>
          <w:rFonts w:hint="eastAsia" w:eastAsia="仿宋_GB2312" w:cs="Times New Roman"/>
          <w:bCs/>
          <w:sz w:val="32"/>
          <w:szCs w:val="32"/>
          <w:highlight w:val="none"/>
          <w:lang w:val="en-US" w:eastAsia="zh-CN"/>
        </w:rPr>
        <w:t>威宁县平均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highlight w:val="none"/>
          <w:lang w:val="en-US" w:eastAsia="zh-CN"/>
        </w:rPr>
        <w:t>气温变化趋势在0.5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1.0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之间，偏高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平均</w:t>
      </w:r>
      <w:r>
        <w:rPr>
          <w:rFonts w:hint="eastAsia" w:eastAsia="仿宋_GB2312" w:cs="Times New Roman"/>
          <w:bCs/>
          <w:sz w:val="32"/>
          <w:szCs w:val="32"/>
          <w:highlight w:val="none"/>
          <w:lang w:val="en-US" w:eastAsia="zh-CN"/>
        </w:rPr>
        <w:t>降水量变化趋势在-20%~-10%，偏少。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</w:rPr>
        <w:t>因此，预计</w:t>
      </w:r>
      <w:r>
        <w:rPr>
          <w:rFonts w:hint="eastAsia" w:eastAsia="仿宋_GB2312" w:cs="Times New Roman"/>
          <w:bCs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</w:rPr>
        <w:t>月草海水域面积较</w:t>
      </w:r>
      <w:r>
        <w:rPr>
          <w:rFonts w:hint="eastAsia" w:eastAsia="仿宋_GB2312" w:cs="Times New Roman"/>
          <w:bCs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有所</w:t>
      </w:r>
      <w:r>
        <w:rPr>
          <w:rFonts w:hint="eastAsia" w:eastAsia="仿宋_GB2312" w:cs="Times New Roman"/>
          <w:bCs/>
          <w:sz w:val="32"/>
          <w:szCs w:val="32"/>
          <w:highlight w:val="none"/>
          <w:lang w:val="en-US" w:eastAsia="zh-CN"/>
        </w:rPr>
        <w:t>减少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。</w:t>
      </w:r>
    </w:p>
    <w:p w14:paraId="34F20BE0">
      <w:pPr>
        <w:tabs>
          <w:tab w:val="left" w:pos="7052"/>
        </w:tabs>
        <w:spacing w:line="360" w:lineRule="auto"/>
        <w:jc w:val="left"/>
        <w:rPr>
          <w:rFonts w:eastAsia="仿宋_GB2312"/>
          <w:b/>
          <w:sz w:val="24"/>
          <w:szCs w:val="28"/>
        </w:rPr>
      </w:pPr>
      <w:r>
        <w:rPr>
          <w:rFonts w:eastAsia="仿宋_GB2312"/>
          <w:b/>
          <w:sz w:val="24"/>
          <w:szCs w:val="28"/>
        </w:rPr>
        <w:tab/>
      </w:r>
    </w:p>
    <w:p w14:paraId="58F496A4">
      <w:pPr>
        <w:spacing w:line="400" w:lineRule="exact"/>
        <w:ind w:right="13" w:rightChars="6"/>
        <w:rPr>
          <w:rFonts w:ascii="楷体" w:hAnsi="楷体" w:eastAsia="楷体" w:cs="华文仿宋"/>
          <w:bCs/>
          <w:sz w:val="28"/>
          <w:szCs w:val="28"/>
        </w:rPr>
      </w:pPr>
    </w:p>
    <w:p w14:paraId="19269652">
      <w:pPr>
        <w:spacing w:line="400" w:lineRule="exact"/>
        <w:ind w:right="13" w:rightChars="6"/>
        <w:rPr>
          <w:rFonts w:ascii="楷体" w:hAnsi="楷体" w:eastAsia="楷体" w:cs="华文仿宋"/>
          <w:bCs/>
          <w:sz w:val="28"/>
          <w:szCs w:val="28"/>
        </w:rPr>
      </w:pPr>
    </w:p>
    <w:p w14:paraId="75D73563">
      <w:pPr>
        <w:tabs>
          <w:tab w:val="left" w:pos="3583"/>
        </w:tabs>
        <w:spacing w:line="400" w:lineRule="exact"/>
        <w:ind w:right="13" w:rightChars="6"/>
        <w:rPr>
          <w:rFonts w:hint="eastAsia" w:ascii="楷体" w:hAnsi="楷体" w:eastAsia="楷体" w:cs="华文仿宋"/>
          <w:bCs/>
          <w:sz w:val="28"/>
          <w:szCs w:val="28"/>
          <w:lang w:eastAsia="zh-CN"/>
        </w:rPr>
      </w:pPr>
    </w:p>
    <w:p w14:paraId="316D814F">
      <w:pPr>
        <w:tabs>
          <w:tab w:val="left" w:pos="3583"/>
        </w:tabs>
        <w:spacing w:line="400" w:lineRule="exact"/>
        <w:ind w:right="13" w:rightChars="6"/>
        <w:rPr>
          <w:rFonts w:hint="eastAsia" w:ascii="楷体" w:hAnsi="楷体" w:eastAsia="楷体" w:cs="华文仿宋"/>
          <w:bCs/>
          <w:sz w:val="28"/>
          <w:szCs w:val="28"/>
          <w:lang w:eastAsia="zh-CN"/>
        </w:rPr>
      </w:pPr>
    </w:p>
    <w:p w14:paraId="2F1BCB83">
      <w:pPr>
        <w:tabs>
          <w:tab w:val="left" w:pos="3583"/>
        </w:tabs>
        <w:spacing w:line="400" w:lineRule="exact"/>
        <w:ind w:right="13" w:rightChars="6"/>
        <w:rPr>
          <w:rFonts w:hint="eastAsia" w:ascii="楷体" w:hAnsi="楷体" w:eastAsia="楷体" w:cs="华文仿宋"/>
          <w:bCs/>
          <w:sz w:val="28"/>
          <w:szCs w:val="28"/>
          <w:lang w:eastAsia="zh-CN"/>
        </w:rPr>
      </w:pPr>
    </w:p>
    <w:p w14:paraId="71FDB33C">
      <w:pPr>
        <w:tabs>
          <w:tab w:val="left" w:pos="3583"/>
        </w:tabs>
        <w:spacing w:line="400" w:lineRule="exact"/>
        <w:ind w:right="13" w:rightChars="6"/>
        <w:rPr>
          <w:rFonts w:hint="eastAsia" w:ascii="楷体" w:hAnsi="楷体" w:eastAsia="楷体" w:cs="华文仿宋"/>
          <w:bCs/>
          <w:sz w:val="28"/>
          <w:szCs w:val="28"/>
          <w:lang w:eastAsia="zh-CN"/>
        </w:rPr>
      </w:pPr>
    </w:p>
    <w:p w14:paraId="4C1A50E2">
      <w:pPr>
        <w:ind w:right="-624" w:rightChars="-297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69215</wp:posOffset>
                </wp:positionV>
                <wp:extent cx="6303645" cy="0"/>
                <wp:effectExtent l="13335" t="12065" r="17145" b="16510"/>
                <wp:wrapNone/>
                <wp:docPr id="5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36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0" o:spid="_x0000_s1026" o:spt="32" type="#_x0000_t32" style="position:absolute;left:0pt;margin-left:-24.45pt;margin-top:5.45pt;height:0pt;width:496.35pt;z-index:-251650048;mso-width-relative:page;mso-height-relative:page;" filled="f" stroked="t" coordsize="21600,21600" o:gfxdata="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9bEuE1wAAAAkBAAAPAAAAAAAAAAEA&#10;IAAAACIAAABkcnMvZG93bnJldi54bWxQSwECFAAUAAAACACHTuJA/mjrZNcBAAC0AwAADgAAAAAA&#10;AAABACAAAAAmAQAAZHJzL2Uyb0RvYy54bWxQSwUGAAAAAAYABgBZAQAAbwUAAAAA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制作人：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尚媛媛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刘丽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CD2013A-B006-42CA-AB7A-16719C18CE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AEDA41C-08EB-401A-8BC3-28A2512D882F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CA02E0CF-E032-4C7E-828E-8EA51E7A6CC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656F37E2-583E-4A24-A2C0-49D95FE91337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5" w:fontKey="{1156E9AC-6439-4713-89A4-EB0E4E0D8BF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8C48EC73-BAB4-4949-A309-4D4F6C87BE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39A223C-2E4E-4E9B-8962-6BEBCA95A6F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F5138CD0-F260-49AE-9313-2F6B90327B1D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143B511B-C523-4BF9-89C1-5C422CC3079A}"/>
  </w:font>
  <w:font w:name="WPSEMBED25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23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24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YWZlMzM5YmMwNDQ3NDM4MDNkZTA0ZWRjOGQ4YzYifQ=="/>
  </w:docVars>
  <w:rsids>
    <w:rsidRoot w:val="00172A27"/>
    <w:rsid w:val="00001093"/>
    <w:rsid w:val="00001CE9"/>
    <w:rsid w:val="00004571"/>
    <w:rsid w:val="00020782"/>
    <w:rsid w:val="00030E3B"/>
    <w:rsid w:val="00054E36"/>
    <w:rsid w:val="000602E0"/>
    <w:rsid w:val="0006253A"/>
    <w:rsid w:val="00073EF3"/>
    <w:rsid w:val="000757AC"/>
    <w:rsid w:val="00084C8C"/>
    <w:rsid w:val="000B6637"/>
    <w:rsid w:val="000C333C"/>
    <w:rsid w:val="000D55A4"/>
    <w:rsid w:val="000D777F"/>
    <w:rsid w:val="000E1398"/>
    <w:rsid w:val="00102A73"/>
    <w:rsid w:val="001358AA"/>
    <w:rsid w:val="0014675E"/>
    <w:rsid w:val="00172A27"/>
    <w:rsid w:val="00186914"/>
    <w:rsid w:val="001915D8"/>
    <w:rsid w:val="001A329F"/>
    <w:rsid w:val="001C09E9"/>
    <w:rsid w:val="001F3345"/>
    <w:rsid w:val="00200EEE"/>
    <w:rsid w:val="00226844"/>
    <w:rsid w:val="00243AF0"/>
    <w:rsid w:val="002554A4"/>
    <w:rsid w:val="00256222"/>
    <w:rsid w:val="00262A71"/>
    <w:rsid w:val="002907CA"/>
    <w:rsid w:val="00291446"/>
    <w:rsid w:val="002A51FC"/>
    <w:rsid w:val="002D0B8C"/>
    <w:rsid w:val="002E0970"/>
    <w:rsid w:val="0031156E"/>
    <w:rsid w:val="00314038"/>
    <w:rsid w:val="0036124C"/>
    <w:rsid w:val="00373D1C"/>
    <w:rsid w:val="003A0680"/>
    <w:rsid w:val="003B3DBC"/>
    <w:rsid w:val="003C20C0"/>
    <w:rsid w:val="003C4545"/>
    <w:rsid w:val="00451786"/>
    <w:rsid w:val="00466293"/>
    <w:rsid w:val="004754F1"/>
    <w:rsid w:val="00491275"/>
    <w:rsid w:val="004B0D9A"/>
    <w:rsid w:val="004D67B3"/>
    <w:rsid w:val="004E7C6B"/>
    <w:rsid w:val="004F1E13"/>
    <w:rsid w:val="00525124"/>
    <w:rsid w:val="0052660D"/>
    <w:rsid w:val="005769E4"/>
    <w:rsid w:val="0058105F"/>
    <w:rsid w:val="005955BB"/>
    <w:rsid w:val="005F27D2"/>
    <w:rsid w:val="006071FD"/>
    <w:rsid w:val="00636B56"/>
    <w:rsid w:val="00644079"/>
    <w:rsid w:val="00664B81"/>
    <w:rsid w:val="0067225D"/>
    <w:rsid w:val="00677765"/>
    <w:rsid w:val="00680E29"/>
    <w:rsid w:val="00681A30"/>
    <w:rsid w:val="00697439"/>
    <w:rsid w:val="006C2177"/>
    <w:rsid w:val="006E7900"/>
    <w:rsid w:val="00700F99"/>
    <w:rsid w:val="00703CB7"/>
    <w:rsid w:val="00722CD5"/>
    <w:rsid w:val="007253B4"/>
    <w:rsid w:val="00727081"/>
    <w:rsid w:val="0076048A"/>
    <w:rsid w:val="00776E53"/>
    <w:rsid w:val="00783159"/>
    <w:rsid w:val="007A5102"/>
    <w:rsid w:val="007B138D"/>
    <w:rsid w:val="007D1FEF"/>
    <w:rsid w:val="007D25AA"/>
    <w:rsid w:val="007E1382"/>
    <w:rsid w:val="007F2EFC"/>
    <w:rsid w:val="0080523A"/>
    <w:rsid w:val="0081101C"/>
    <w:rsid w:val="008151FC"/>
    <w:rsid w:val="00817E1F"/>
    <w:rsid w:val="008326D7"/>
    <w:rsid w:val="008343DC"/>
    <w:rsid w:val="00842D27"/>
    <w:rsid w:val="008714FB"/>
    <w:rsid w:val="00880408"/>
    <w:rsid w:val="00883F5C"/>
    <w:rsid w:val="008C1B09"/>
    <w:rsid w:val="008C30E4"/>
    <w:rsid w:val="008D0D2E"/>
    <w:rsid w:val="008D7EBD"/>
    <w:rsid w:val="00901C89"/>
    <w:rsid w:val="00911F04"/>
    <w:rsid w:val="00923DFB"/>
    <w:rsid w:val="00936EBA"/>
    <w:rsid w:val="009541AD"/>
    <w:rsid w:val="009646E8"/>
    <w:rsid w:val="009A5AAB"/>
    <w:rsid w:val="009C56FE"/>
    <w:rsid w:val="009C6480"/>
    <w:rsid w:val="00A04D82"/>
    <w:rsid w:val="00A119ED"/>
    <w:rsid w:val="00A737D5"/>
    <w:rsid w:val="00A86367"/>
    <w:rsid w:val="00A875C1"/>
    <w:rsid w:val="00A9229B"/>
    <w:rsid w:val="00AB3BD7"/>
    <w:rsid w:val="00AB4D64"/>
    <w:rsid w:val="00AD5892"/>
    <w:rsid w:val="00AE4404"/>
    <w:rsid w:val="00B003F0"/>
    <w:rsid w:val="00B16B5C"/>
    <w:rsid w:val="00B16CE2"/>
    <w:rsid w:val="00B21871"/>
    <w:rsid w:val="00B426F6"/>
    <w:rsid w:val="00B675D8"/>
    <w:rsid w:val="00B75420"/>
    <w:rsid w:val="00B96D2C"/>
    <w:rsid w:val="00BB3413"/>
    <w:rsid w:val="00BC4730"/>
    <w:rsid w:val="00BE51CD"/>
    <w:rsid w:val="00BF706B"/>
    <w:rsid w:val="00C17E3C"/>
    <w:rsid w:val="00C23372"/>
    <w:rsid w:val="00C36846"/>
    <w:rsid w:val="00C44717"/>
    <w:rsid w:val="00C5250E"/>
    <w:rsid w:val="00C94077"/>
    <w:rsid w:val="00C96117"/>
    <w:rsid w:val="00CB4B12"/>
    <w:rsid w:val="00CB636C"/>
    <w:rsid w:val="00CB7A81"/>
    <w:rsid w:val="00CC1914"/>
    <w:rsid w:val="00CC1C26"/>
    <w:rsid w:val="00CF5D27"/>
    <w:rsid w:val="00D40444"/>
    <w:rsid w:val="00D93AF8"/>
    <w:rsid w:val="00DA49F9"/>
    <w:rsid w:val="00DA5808"/>
    <w:rsid w:val="00DC299F"/>
    <w:rsid w:val="00DD20B4"/>
    <w:rsid w:val="00DD41C1"/>
    <w:rsid w:val="00E1092C"/>
    <w:rsid w:val="00E13B3E"/>
    <w:rsid w:val="00E44CD5"/>
    <w:rsid w:val="00E60CDA"/>
    <w:rsid w:val="00E767AD"/>
    <w:rsid w:val="00E87747"/>
    <w:rsid w:val="00E95626"/>
    <w:rsid w:val="00EB4B3A"/>
    <w:rsid w:val="00EB6A6A"/>
    <w:rsid w:val="00EC41E1"/>
    <w:rsid w:val="00ED7CBD"/>
    <w:rsid w:val="00EE04EE"/>
    <w:rsid w:val="00EF7A3B"/>
    <w:rsid w:val="00F0389A"/>
    <w:rsid w:val="00F11B73"/>
    <w:rsid w:val="00F16F1B"/>
    <w:rsid w:val="00F17D38"/>
    <w:rsid w:val="00F36EC5"/>
    <w:rsid w:val="00F45762"/>
    <w:rsid w:val="00F57028"/>
    <w:rsid w:val="00F6486D"/>
    <w:rsid w:val="00F64981"/>
    <w:rsid w:val="00F70C12"/>
    <w:rsid w:val="00F95F3C"/>
    <w:rsid w:val="00FA7809"/>
    <w:rsid w:val="00FB1165"/>
    <w:rsid w:val="00FB2CD5"/>
    <w:rsid w:val="00FD10A7"/>
    <w:rsid w:val="00FD16EF"/>
    <w:rsid w:val="00FD5076"/>
    <w:rsid w:val="00FF4D38"/>
    <w:rsid w:val="00FF7746"/>
    <w:rsid w:val="01F01BD2"/>
    <w:rsid w:val="02AA178B"/>
    <w:rsid w:val="035E4919"/>
    <w:rsid w:val="04465C75"/>
    <w:rsid w:val="04B4317E"/>
    <w:rsid w:val="05290E37"/>
    <w:rsid w:val="0563197A"/>
    <w:rsid w:val="071F58FD"/>
    <w:rsid w:val="07C733D5"/>
    <w:rsid w:val="086D51A2"/>
    <w:rsid w:val="087800B9"/>
    <w:rsid w:val="09527339"/>
    <w:rsid w:val="09AA19A9"/>
    <w:rsid w:val="0AE24082"/>
    <w:rsid w:val="0BED5839"/>
    <w:rsid w:val="0BF63478"/>
    <w:rsid w:val="0C1163E6"/>
    <w:rsid w:val="0C650471"/>
    <w:rsid w:val="0CC2721D"/>
    <w:rsid w:val="0D1904D8"/>
    <w:rsid w:val="0E895EA9"/>
    <w:rsid w:val="106B68C8"/>
    <w:rsid w:val="106D2507"/>
    <w:rsid w:val="125B4215"/>
    <w:rsid w:val="132F270C"/>
    <w:rsid w:val="133D09EF"/>
    <w:rsid w:val="13C24080"/>
    <w:rsid w:val="13CC0F50"/>
    <w:rsid w:val="16501B6B"/>
    <w:rsid w:val="16B51189"/>
    <w:rsid w:val="16BB464A"/>
    <w:rsid w:val="172A0249"/>
    <w:rsid w:val="17962190"/>
    <w:rsid w:val="17A77A0D"/>
    <w:rsid w:val="17C15E79"/>
    <w:rsid w:val="17CF4C9F"/>
    <w:rsid w:val="18406742"/>
    <w:rsid w:val="185F177F"/>
    <w:rsid w:val="18B51028"/>
    <w:rsid w:val="18D51170"/>
    <w:rsid w:val="1A936D28"/>
    <w:rsid w:val="1AB33345"/>
    <w:rsid w:val="1ACE017F"/>
    <w:rsid w:val="1B0E36D6"/>
    <w:rsid w:val="1B430971"/>
    <w:rsid w:val="1CFC5477"/>
    <w:rsid w:val="1D0A7E77"/>
    <w:rsid w:val="1D3C5DDC"/>
    <w:rsid w:val="1EBF3B9B"/>
    <w:rsid w:val="1EE44BF1"/>
    <w:rsid w:val="205E2895"/>
    <w:rsid w:val="214C424E"/>
    <w:rsid w:val="221F1FF1"/>
    <w:rsid w:val="22AF5672"/>
    <w:rsid w:val="23E152C2"/>
    <w:rsid w:val="23F23130"/>
    <w:rsid w:val="2442341C"/>
    <w:rsid w:val="2583577E"/>
    <w:rsid w:val="26024DD2"/>
    <w:rsid w:val="26151358"/>
    <w:rsid w:val="26A91B17"/>
    <w:rsid w:val="274318DC"/>
    <w:rsid w:val="275067F3"/>
    <w:rsid w:val="28133675"/>
    <w:rsid w:val="2937299B"/>
    <w:rsid w:val="296D0386"/>
    <w:rsid w:val="2A0063A7"/>
    <w:rsid w:val="2A070584"/>
    <w:rsid w:val="2AF62F52"/>
    <w:rsid w:val="2B4C7BA5"/>
    <w:rsid w:val="2B633FEC"/>
    <w:rsid w:val="2BAE2033"/>
    <w:rsid w:val="2C952A59"/>
    <w:rsid w:val="2CEB62F3"/>
    <w:rsid w:val="2DCC6E8A"/>
    <w:rsid w:val="2E734E6D"/>
    <w:rsid w:val="30AF5C3F"/>
    <w:rsid w:val="320873B3"/>
    <w:rsid w:val="32087FC3"/>
    <w:rsid w:val="32E92FB9"/>
    <w:rsid w:val="348524E3"/>
    <w:rsid w:val="355561D5"/>
    <w:rsid w:val="35947BB2"/>
    <w:rsid w:val="364208B0"/>
    <w:rsid w:val="36674C84"/>
    <w:rsid w:val="382D2E86"/>
    <w:rsid w:val="39310545"/>
    <w:rsid w:val="39561244"/>
    <w:rsid w:val="397F500E"/>
    <w:rsid w:val="3A3E7DEE"/>
    <w:rsid w:val="3A451DB4"/>
    <w:rsid w:val="3ACB3575"/>
    <w:rsid w:val="3AE74C19"/>
    <w:rsid w:val="3AEF1D20"/>
    <w:rsid w:val="3B9C0A0D"/>
    <w:rsid w:val="3C87220D"/>
    <w:rsid w:val="3CA376E8"/>
    <w:rsid w:val="3D263D3A"/>
    <w:rsid w:val="3D504E6F"/>
    <w:rsid w:val="3F080FA9"/>
    <w:rsid w:val="3F4D5B19"/>
    <w:rsid w:val="407321BB"/>
    <w:rsid w:val="41652D3C"/>
    <w:rsid w:val="41793CFC"/>
    <w:rsid w:val="46BA7686"/>
    <w:rsid w:val="46EC5674"/>
    <w:rsid w:val="480165C3"/>
    <w:rsid w:val="486E697A"/>
    <w:rsid w:val="48A96722"/>
    <w:rsid w:val="48D4294D"/>
    <w:rsid w:val="49125B3D"/>
    <w:rsid w:val="498B7D99"/>
    <w:rsid w:val="49FB423D"/>
    <w:rsid w:val="4A301A0D"/>
    <w:rsid w:val="4A956109"/>
    <w:rsid w:val="4B214957"/>
    <w:rsid w:val="4BA001D7"/>
    <w:rsid w:val="4BA56838"/>
    <w:rsid w:val="4BBE19C6"/>
    <w:rsid w:val="4C6D1621"/>
    <w:rsid w:val="4CF22188"/>
    <w:rsid w:val="4D20220D"/>
    <w:rsid w:val="4D681901"/>
    <w:rsid w:val="4EA672BC"/>
    <w:rsid w:val="4F7C22B3"/>
    <w:rsid w:val="50BB2978"/>
    <w:rsid w:val="514613DE"/>
    <w:rsid w:val="52177730"/>
    <w:rsid w:val="536270DB"/>
    <w:rsid w:val="537137C2"/>
    <w:rsid w:val="5388299C"/>
    <w:rsid w:val="54AD1A2B"/>
    <w:rsid w:val="54F06811"/>
    <w:rsid w:val="55410F72"/>
    <w:rsid w:val="556A1B80"/>
    <w:rsid w:val="56292D9B"/>
    <w:rsid w:val="56ED08A6"/>
    <w:rsid w:val="56F80B25"/>
    <w:rsid w:val="57C2639A"/>
    <w:rsid w:val="57ED7E5C"/>
    <w:rsid w:val="58011B93"/>
    <w:rsid w:val="587C0388"/>
    <w:rsid w:val="595000DE"/>
    <w:rsid w:val="596516D3"/>
    <w:rsid w:val="598A5E85"/>
    <w:rsid w:val="5A9F6E67"/>
    <w:rsid w:val="5AD54DE9"/>
    <w:rsid w:val="5B5555DB"/>
    <w:rsid w:val="5C974299"/>
    <w:rsid w:val="5CDA2E82"/>
    <w:rsid w:val="5CDE4734"/>
    <w:rsid w:val="5DC91752"/>
    <w:rsid w:val="5EC05B97"/>
    <w:rsid w:val="5ECC4CBA"/>
    <w:rsid w:val="5ED1583B"/>
    <w:rsid w:val="60E2116F"/>
    <w:rsid w:val="613B3B59"/>
    <w:rsid w:val="61421A0D"/>
    <w:rsid w:val="61802A20"/>
    <w:rsid w:val="61BA6334"/>
    <w:rsid w:val="630E268C"/>
    <w:rsid w:val="69290033"/>
    <w:rsid w:val="69BC0A87"/>
    <w:rsid w:val="6A360934"/>
    <w:rsid w:val="6A3D0717"/>
    <w:rsid w:val="6AA302AD"/>
    <w:rsid w:val="6AF40B09"/>
    <w:rsid w:val="6C8669DD"/>
    <w:rsid w:val="6D365409"/>
    <w:rsid w:val="6D721664"/>
    <w:rsid w:val="6D7A42CB"/>
    <w:rsid w:val="6DA7695E"/>
    <w:rsid w:val="6E01498F"/>
    <w:rsid w:val="6E1875BC"/>
    <w:rsid w:val="70580BC2"/>
    <w:rsid w:val="70E777EA"/>
    <w:rsid w:val="71723AAF"/>
    <w:rsid w:val="71D13833"/>
    <w:rsid w:val="71E371E1"/>
    <w:rsid w:val="720327D3"/>
    <w:rsid w:val="732E0930"/>
    <w:rsid w:val="73B43F6F"/>
    <w:rsid w:val="74037D4C"/>
    <w:rsid w:val="747332F0"/>
    <w:rsid w:val="75344F56"/>
    <w:rsid w:val="75462103"/>
    <w:rsid w:val="75703482"/>
    <w:rsid w:val="7662101C"/>
    <w:rsid w:val="77887588"/>
    <w:rsid w:val="78473390"/>
    <w:rsid w:val="78662AAF"/>
    <w:rsid w:val="78926582"/>
    <w:rsid w:val="7AFB1BAF"/>
    <w:rsid w:val="7BF178C4"/>
    <w:rsid w:val="7C5533D1"/>
    <w:rsid w:val="7C9A5B9A"/>
    <w:rsid w:val="7D134A63"/>
    <w:rsid w:val="7DAC7021"/>
    <w:rsid w:val="7EAD12A3"/>
    <w:rsid w:val="7F431716"/>
    <w:rsid w:val="7F95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0"/>
    <w:pPr>
      <w:ind w:firstLine="570"/>
    </w:pPr>
    <w:rPr>
      <w:rFonts w:ascii="宋体" w:hAnsi="宋体"/>
      <w:sz w:val="28"/>
      <w:szCs w:val="30"/>
    </w:rPr>
  </w:style>
  <w:style w:type="paragraph" w:styleId="3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Body Text First Indent 2"/>
    <w:basedOn w:val="2"/>
    <w:next w:val="1"/>
    <w:qFormat/>
    <w:uiPriority w:val="0"/>
    <w:pPr>
      <w:ind w:firstLine="880" w:firstLineChars="200"/>
    </w:pPr>
  </w:style>
  <w:style w:type="character" w:styleId="9">
    <w:name w:val="page number"/>
    <w:autoRedefine/>
    <w:qFormat/>
    <w:uiPriority w:val="0"/>
    <w:rPr>
      <w:rFonts w:cs="Times New Roman"/>
    </w:rPr>
  </w:style>
  <w:style w:type="paragraph" w:customStyle="1" w:styleId="10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11">
    <w:name w:val="表格内容"/>
    <w:basedOn w:val="1"/>
    <w:next w:val="1"/>
    <w:autoRedefine/>
    <w:qFormat/>
    <w:uiPriority w:val="0"/>
    <w:pPr>
      <w:jc w:val="center"/>
    </w:pPr>
    <w:rPr>
      <w:rFonts w:eastAsia="楷体"/>
      <w:sz w:val="24"/>
      <w:szCs w:val="24"/>
    </w:rPr>
  </w:style>
  <w:style w:type="character" w:customStyle="1" w:styleId="12">
    <w:name w:val="批注框文本 Char"/>
    <w:basedOn w:val="8"/>
    <w:link w:val="3"/>
    <w:autoRedefine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work\zhiban\202412\202411&#23041;&#23425;&#25968;&#25454;%20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work\zhiban\202412\202411&#23041;&#23425;&#25968;&#25454;%2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498314043561469"/>
          <c:y val="0.125729774812344"/>
          <c:w val="0.888836234393511"/>
          <c:h val="0.642660550458716"/>
        </c:manualLayout>
      </c:layout>
      <c:lineChart>
        <c:grouping val="standard"/>
        <c:varyColors val="0"/>
        <c:ser>
          <c:idx val="0"/>
          <c:order val="0"/>
          <c:tx>
            <c:strRef>
              <c:f>'[202411威宁数据 .xls]Sheet1'!$G$1</c:f>
              <c:strCache>
                <c:ptCount val="1"/>
                <c:pt idx="0">
                  <c:v>气温</c:v>
                </c:pt>
              </c:strCache>
            </c:strRef>
          </c:tx>
          <c:spPr>
            <a:ln w="12700" cap="rnd" cmpd="sng" algn="ctr">
              <a:solidFill>
                <a:srgbClr val="C00000">
                  <a:alpha val="100000"/>
                </a:srgbClr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strRef>
              <c:f>'[202411威宁数据 .xls]Sheet1'!$F$2:$F$27</c:f>
              <c:strCache>
                <c:ptCount val="26"/>
                <c:pt idx="0" c:formatCode="0_ ">
                  <c:v>2000</c:v>
                </c:pt>
                <c:pt idx="1" c:formatCode="0_ ">
                  <c:v>2001</c:v>
                </c:pt>
                <c:pt idx="2" c:formatCode="0_ ">
                  <c:v>2002</c:v>
                </c:pt>
                <c:pt idx="3" c:formatCode="0_ ">
                  <c:v>2003</c:v>
                </c:pt>
                <c:pt idx="4" c:formatCode="0_ ">
                  <c:v>2004</c:v>
                </c:pt>
                <c:pt idx="5" c:formatCode="0_ ">
                  <c:v>2005</c:v>
                </c:pt>
                <c:pt idx="6" c:formatCode="0_ ">
                  <c:v>2006</c:v>
                </c:pt>
                <c:pt idx="7" c:formatCode="0_ ">
                  <c:v>2007</c:v>
                </c:pt>
                <c:pt idx="8" c:formatCode="0_ ">
                  <c:v>2008</c:v>
                </c:pt>
                <c:pt idx="9" c:formatCode="0_ ">
                  <c:v>2009</c:v>
                </c:pt>
                <c:pt idx="10" c:formatCode="0_ ">
                  <c:v>2010</c:v>
                </c:pt>
                <c:pt idx="11" c:formatCode="0_ ">
                  <c:v>2011</c:v>
                </c:pt>
                <c:pt idx="12" c:formatCode="0_ ">
                  <c:v>2012</c:v>
                </c:pt>
                <c:pt idx="13" c:formatCode="0_ ">
                  <c:v>2013</c:v>
                </c:pt>
                <c:pt idx="14" c:formatCode="0_ ">
                  <c:v>2014</c:v>
                </c:pt>
                <c:pt idx="15" c:formatCode="0_ ">
                  <c:v>2015</c:v>
                </c:pt>
                <c:pt idx="16" c:formatCode="0_ ">
                  <c:v>2016</c:v>
                </c:pt>
                <c:pt idx="17" c:formatCode="0_ ">
                  <c:v>2017</c:v>
                </c:pt>
                <c:pt idx="18" c:formatCode="0_ ">
                  <c:v>2018</c:v>
                </c:pt>
                <c:pt idx="19" c:formatCode="0_ ">
                  <c:v>2019</c:v>
                </c:pt>
                <c:pt idx="20" c:formatCode="0_ ">
                  <c:v>2020</c:v>
                </c:pt>
                <c:pt idx="21" c:formatCode="0_ ">
                  <c:v>2021</c:v>
                </c:pt>
                <c:pt idx="22" c:formatCode="0_ ">
                  <c:v>2022</c:v>
                </c:pt>
                <c:pt idx="23" c:formatCode="0_ ">
                  <c:v>2023</c:v>
                </c:pt>
                <c:pt idx="24" c:formatCode="0_ ">
                  <c:v>2024</c:v>
                </c:pt>
                <c:pt idx="25" c:formatCode="0_ ">
                  <c:v>2025</c:v>
                </c:pt>
              </c:strCache>
            </c:strRef>
          </c:cat>
          <c:val>
            <c:numRef>
              <c:f>'[202411威宁数据 .xls]Sheet1'!$G$2:$G$27</c:f>
              <c:numCache>
                <c:formatCode>General</c:formatCode>
                <c:ptCount val="26"/>
                <c:pt idx="0">
                  <c:v>16.7</c:v>
                </c:pt>
                <c:pt idx="1">
                  <c:v>16.8</c:v>
                </c:pt>
                <c:pt idx="2">
                  <c:v>16.1</c:v>
                </c:pt>
                <c:pt idx="3">
                  <c:v>18.5</c:v>
                </c:pt>
                <c:pt idx="4">
                  <c:v>18.2</c:v>
                </c:pt>
                <c:pt idx="5">
                  <c:v>17.2</c:v>
                </c:pt>
                <c:pt idx="6">
                  <c:v>18.5</c:v>
                </c:pt>
                <c:pt idx="7">
                  <c:v>18.3</c:v>
                </c:pt>
                <c:pt idx="8">
                  <c:v>17.5</c:v>
                </c:pt>
                <c:pt idx="9">
                  <c:v>18</c:v>
                </c:pt>
                <c:pt idx="10">
                  <c:v>18.4</c:v>
                </c:pt>
                <c:pt idx="11">
                  <c:v>18.2</c:v>
                </c:pt>
                <c:pt idx="12">
                  <c:v>18</c:v>
                </c:pt>
                <c:pt idx="13">
                  <c:v>17.8</c:v>
                </c:pt>
                <c:pt idx="14">
                  <c:v>17.1</c:v>
                </c:pt>
                <c:pt idx="15">
                  <c:v>16.3</c:v>
                </c:pt>
                <c:pt idx="16">
                  <c:v>18.2</c:v>
                </c:pt>
                <c:pt idx="17">
                  <c:v>18.8</c:v>
                </c:pt>
                <c:pt idx="18">
                  <c:v>17.8</c:v>
                </c:pt>
                <c:pt idx="19">
                  <c:v>18.7</c:v>
                </c:pt>
                <c:pt idx="20">
                  <c:v>18.7</c:v>
                </c:pt>
                <c:pt idx="21">
                  <c:v>18.6</c:v>
                </c:pt>
                <c:pt idx="22">
                  <c:v>19.7</c:v>
                </c:pt>
                <c:pt idx="23">
                  <c:v>18.3</c:v>
                </c:pt>
                <c:pt idx="24">
                  <c:v>19.9</c:v>
                </c:pt>
                <c:pt idx="25">
                  <c:v>18.6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'[202411威宁数据 .xls]Sheet1'!$H$1</c:f>
              <c:strCache>
                <c:ptCount val="1"/>
                <c:pt idx="0">
                  <c:v>常年值</c:v>
                </c:pt>
              </c:strCache>
            </c:strRef>
          </c:tx>
          <c:spPr>
            <a:ln w="12700" cap="rnd" cmpd="sng" algn="ctr">
              <a:solidFill>
                <a:srgbClr val="000000">
                  <a:alpha val="100000"/>
                </a:srgbClr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strRef>
              <c:f>'[202411威宁数据 .xls]Sheet1'!$F$2:$F$27</c:f>
              <c:strCache>
                <c:ptCount val="26"/>
                <c:pt idx="0" c:formatCode="0_ ">
                  <c:v>2000</c:v>
                </c:pt>
                <c:pt idx="1" c:formatCode="0_ ">
                  <c:v>2001</c:v>
                </c:pt>
                <c:pt idx="2" c:formatCode="0_ ">
                  <c:v>2002</c:v>
                </c:pt>
                <c:pt idx="3" c:formatCode="0_ ">
                  <c:v>2003</c:v>
                </c:pt>
                <c:pt idx="4" c:formatCode="0_ ">
                  <c:v>2004</c:v>
                </c:pt>
                <c:pt idx="5" c:formatCode="0_ ">
                  <c:v>2005</c:v>
                </c:pt>
                <c:pt idx="6" c:formatCode="0_ ">
                  <c:v>2006</c:v>
                </c:pt>
                <c:pt idx="7" c:formatCode="0_ ">
                  <c:v>2007</c:v>
                </c:pt>
                <c:pt idx="8" c:formatCode="0_ ">
                  <c:v>2008</c:v>
                </c:pt>
                <c:pt idx="9" c:formatCode="0_ ">
                  <c:v>2009</c:v>
                </c:pt>
                <c:pt idx="10" c:formatCode="0_ ">
                  <c:v>2010</c:v>
                </c:pt>
                <c:pt idx="11" c:formatCode="0_ ">
                  <c:v>2011</c:v>
                </c:pt>
                <c:pt idx="12" c:formatCode="0_ ">
                  <c:v>2012</c:v>
                </c:pt>
                <c:pt idx="13" c:formatCode="0_ ">
                  <c:v>2013</c:v>
                </c:pt>
                <c:pt idx="14" c:formatCode="0_ ">
                  <c:v>2014</c:v>
                </c:pt>
                <c:pt idx="15" c:formatCode="0_ ">
                  <c:v>2015</c:v>
                </c:pt>
                <c:pt idx="16" c:formatCode="0_ ">
                  <c:v>2016</c:v>
                </c:pt>
                <c:pt idx="17" c:formatCode="0_ ">
                  <c:v>2017</c:v>
                </c:pt>
                <c:pt idx="18" c:formatCode="0_ ">
                  <c:v>2018</c:v>
                </c:pt>
                <c:pt idx="19" c:formatCode="0_ ">
                  <c:v>2019</c:v>
                </c:pt>
                <c:pt idx="20" c:formatCode="0_ ">
                  <c:v>2020</c:v>
                </c:pt>
                <c:pt idx="21" c:formatCode="0_ ">
                  <c:v>2021</c:v>
                </c:pt>
                <c:pt idx="22" c:formatCode="0_ ">
                  <c:v>2022</c:v>
                </c:pt>
                <c:pt idx="23" c:formatCode="0_ ">
                  <c:v>2023</c:v>
                </c:pt>
                <c:pt idx="24" c:formatCode="0_ ">
                  <c:v>2024</c:v>
                </c:pt>
                <c:pt idx="25" c:formatCode="0_ ">
                  <c:v>2025</c:v>
                </c:pt>
              </c:strCache>
            </c:strRef>
          </c:cat>
          <c:val>
            <c:numRef>
              <c:f>'[202411威宁数据 .xls]Sheet1'!$H$2:$H$27</c:f>
              <c:numCache>
                <c:formatCode>0.0_ </c:formatCode>
                <c:ptCount val="26"/>
                <c:pt idx="0">
                  <c:v>17.9</c:v>
                </c:pt>
                <c:pt idx="1">
                  <c:v>17.9</c:v>
                </c:pt>
                <c:pt idx="2">
                  <c:v>17.9</c:v>
                </c:pt>
                <c:pt idx="3">
                  <c:v>17.9</c:v>
                </c:pt>
                <c:pt idx="4">
                  <c:v>17.9</c:v>
                </c:pt>
                <c:pt idx="5">
                  <c:v>17.9</c:v>
                </c:pt>
                <c:pt idx="6">
                  <c:v>17.9</c:v>
                </c:pt>
                <c:pt idx="7">
                  <c:v>17.9</c:v>
                </c:pt>
                <c:pt idx="8">
                  <c:v>17.9</c:v>
                </c:pt>
                <c:pt idx="9">
                  <c:v>17.9</c:v>
                </c:pt>
                <c:pt idx="10">
                  <c:v>17.9</c:v>
                </c:pt>
                <c:pt idx="11">
                  <c:v>17.9</c:v>
                </c:pt>
                <c:pt idx="12">
                  <c:v>17.9</c:v>
                </c:pt>
                <c:pt idx="13">
                  <c:v>17.9</c:v>
                </c:pt>
                <c:pt idx="14">
                  <c:v>17.9</c:v>
                </c:pt>
                <c:pt idx="15">
                  <c:v>17.9</c:v>
                </c:pt>
                <c:pt idx="16">
                  <c:v>17.9</c:v>
                </c:pt>
                <c:pt idx="17">
                  <c:v>17.9</c:v>
                </c:pt>
                <c:pt idx="18">
                  <c:v>17.9</c:v>
                </c:pt>
                <c:pt idx="19">
                  <c:v>17.9</c:v>
                </c:pt>
                <c:pt idx="20">
                  <c:v>17.9</c:v>
                </c:pt>
                <c:pt idx="21">
                  <c:v>17.9</c:v>
                </c:pt>
                <c:pt idx="22">
                  <c:v>17.9</c:v>
                </c:pt>
                <c:pt idx="23">
                  <c:v>17.9</c:v>
                </c:pt>
                <c:pt idx="24">
                  <c:v>17.9</c:v>
                </c:pt>
                <c:pt idx="25">
                  <c:v>17.9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406011692"/>
        <c:axId val="132959177"/>
      </c:lineChart>
      <c:catAx>
        <c:axId val="406011692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800" b="0" i="0" u="none" strike="noStrike" kern="1200" baseline="0">
                    <a:solidFill>
                      <a:srgbClr val="000000">
                        <a:alpha val="100000"/>
                      </a:srgbClr>
                    </a:solidFill>
                    <a:latin typeface="Calibri" panose="020F0502020204030204" pitchFamily="2" charset="0"/>
                    <a:ea typeface="Calibri" panose="020F0502020204030204" pitchFamily="2" charset="0"/>
                    <a:cs typeface="Calibri" panose="020F0502020204030204" pitchFamily="2" charset="0"/>
                  </a:defRPr>
                </a:pPr>
                <a:r>
                  <a:rPr sz="1175" b="0" i="0" u="none" strike="noStrike" baseline="0">
                    <a:solidFill>
                      <a:srgbClr val="000000"/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rPr>
                  <a:t>年份</a:t>
                </a:r>
                <a:endParaRPr sz="1200" b="0" i="0" u="none" strike="noStrike" baseline="0">
                  <a:solidFill>
                    <a:srgbClr val="000000"/>
                  </a:solidFill>
                  <a:latin typeface="宋体" panose="02010600030101010101" charset="-122"/>
                  <a:ea typeface="宋体" panose="02010600030101010101" charset="-122"/>
                  <a:cs typeface="宋体" panose="02010600030101010101" charset="-122"/>
                </a:endParaRPr>
              </a:p>
            </c:rich>
          </c:tx>
          <c:layout>
            <c:manualLayout>
              <c:xMode val="edge"/>
              <c:yMode val="edge"/>
              <c:x val="0.957020917390849"/>
              <c:y val="0.788774543937745"/>
            </c:manualLayout>
          </c:layout>
          <c:overlay val="0"/>
        </c:title>
        <c:majorTickMark val="in"/>
        <c:minorTickMark val="none"/>
        <c:tickLblPos val="low"/>
        <c:spPr>
          <a:ln w="3175" cap="flat" cmpd="sng" algn="ctr">
            <a:solidFill>
              <a:srgbClr val="000000">
                <a:alpha val="100000"/>
              </a:srgbClr>
            </a:solidFill>
            <a:prstDash val="solid"/>
            <a:round/>
          </a:ln>
        </c:spPr>
        <c:txPr>
          <a:bodyPr rot="-540000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>
                    <a:alpha val="100000"/>
                  </a:srgb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32959177"/>
        <c:crossesAt val="0"/>
        <c:auto val="1"/>
        <c:lblAlgn val="ctr"/>
        <c:lblOffset val="100"/>
        <c:tickLblSkip val="1"/>
        <c:noMultiLvlLbl val="0"/>
      </c:catAx>
      <c:valAx>
        <c:axId val="132959177"/>
        <c:scaling>
          <c:orientation val="minMax"/>
          <c:max val="20"/>
          <c:min val="15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175" b="0" i="0" u="none" strike="noStrike" kern="1200" baseline="0">
                    <a:solidFill>
                      <a:srgbClr val="000000">
                        <a:alpha val="100000"/>
                      </a:srgbClr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  <a:r>
                  <a:rPr altLang="en-US" sz="1175" b="0" i="0" u="none" strike="noStrike" baseline="0">
                    <a:solidFill>
                      <a:srgbClr val="000000">
                        <a:alpha val="100000"/>
                      </a:srgbClr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rPr>
                  <a:t>℃</a:t>
                </a:r>
                <a:endParaRPr lang="en-US" altLang="zh-CN" sz="1175" b="0" i="0" u="none" strike="noStrike" baseline="0">
                  <a:solidFill>
                    <a:srgbClr val="000000">
                      <a:alpha val="100000"/>
                    </a:srgbClr>
                  </a:solidFill>
                  <a:latin typeface="宋体" panose="02010600030101010101" charset="-122"/>
                  <a:ea typeface="宋体" panose="02010600030101010101" charset="-122"/>
                  <a:cs typeface="宋体" panose="02010600030101010101" charset="-122"/>
                </a:endParaRPr>
              </a:p>
            </c:rich>
          </c:tx>
          <c:layout>
            <c:manualLayout>
              <c:xMode val="edge"/>
              <c:yMode val="edge"/>
              <c:x val="0.0137223012807481"/>
              <c:y val="0.00802139037433155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3175" cap="flat" cmpd="sng" algn="ctr">
            <a:solidFill>
              <a:srgbClr val="000000">
                <a:alpha val="100000"/>
              </a:srgbClr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>
                    <a:alpha val="100000"/>
                  </a:srgb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406011692"/>
        <c:crosses val="autoZero"/>
        <c:crossBetween val="midCat"/>
        <c:majorUnit val="2"/>
        <c:minorUnit val="1"/>
      </c:valAx>
      <c:spPr>
        <a:noFill/>
        <a:ln w="3175">
          <a:noFill/>
        </a:ln>
      </c:spPr>
    </c:plotArea>
    <c:legend>
      <c:legendPos val="t"/>
      <c:layout>
        <c:manualLayout>
          <c:xMode val="edge"/>
          <c:yMode val="edge"/>
          <c:x val="0.386220723594277"/>
          <c:y val="0.0254378648874062"/>
          <c:w val="0.250797411829035"/>
          <c:h val="0.101959966638866"/>
        </c:manualLayout>
      </c:layout>
      <c:overlay val="0"/>
      <c:spPr>
        <a:solidFill>
          <a:srgbClr val="FFFFFF">
            <a:alpha val="100000"/>
          </a:srgbClr>
        </a:solidFill>
        <a:ln w="3175">
          <a:solidFill>
            <a:srgbClr val="000000">
              <a:alpha val="100000"/>
            </a:srgbClr>
          </a:solidFill>
          <a:prstDash val="solid"/>
        </a:ln>
      </c:spPr>
      <c:txPr>
        <a:bodyPr rot="0" spcFirstLastPara="0" vertOverflow="ellipsis" vert="horz" wrap="square" anchor="ctr" anchorCtr="1"/>
        <a:lstStyle/>
        <a:p>
          <a:pPr>
            <a:defRPr lang="zh-CN" sz="108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828d21cc-66d1-458c-895d-3e6beee0d2e7}"/>
      </c:ext>
    </c:extLst>
  </c:chart>
  <c:spPr>
    <a:solidFill>
      <a:srgbClr val="FFFFFF">
        <a:alpha val="100000"/>
      </a:srgbClr>
    </a:solidFill>
    <a:ln w="3175" cap="flat" cmpd="sng" algn="ctr">
      <a:solidFill>
        <a:schemeClr val="bg1">
          <a:lumMod val="75000"/>
          <a:alpha val="100000"/>
        </a:schemeClr>
      </a:solidFill>
      <a:prstDash val="solid"/>
      <a:round/>
    </a:ln>
  </c:spPr>
  <c:txPr>
    <a:bodyPr rot="0" wrap="square" anchor="ctr" anchorCtr="1"/>
    <a:lstStyle/>
    <a:p>
      <a:pPr>
        <a:defRPr lang="zh-CN" sz="117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774737857056767"/>
          <c:y val="0.13012987012987"/>
          <c:w val="0.86093768832108"/>
          <c:h val="0.648883116883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'[202411威宁数据 .xls]Sheet1'!$J$1</c:f>
              <c:strCache>
                <c:ptCount val="1"/>
                <c:pt idx="0">
                  <c:v>降水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invertIfNegative val="0"/>
          <c:dLbls>
            <c:delete val="1"/>
          </c:dLbls>
          <c:cat>
            <c:strRef>
              <c:f>'[202411威宁数据 .xls]Sheet1'!$I$2:$I$27</c:f>
              <c:strCache>
                <c:ptCount val="26"/>
                <c:pt idx="0" c:formatCode="0.00_ ">
                  <c:v>2000</c:v>
                </c:pt>
                <c:pt idx="1" c:formatCode="0.00_ ">
                  <c:v>2001</c:v>
                </c:pt>
                <c:pt idx="2" c:formatCode="0.00_ ">
                  <c:v>2002</c:v>
                </c:pt>
                <c:pt idx="3" c:formatCode="0.00_ ">
                  <c:v>2003</c:v>
                </c:pt>
                <c:pt idx="4" c:formatCode="0.00_ ">
                  <c:v>2004</c:v>
                </c:pt>
                <c:pt idx="5" c:formatCode="0.00_ ">
                  <c:v>2005</c:v>
                </c:pt>
                <c:pt idx="6" c:formatCode="0.00_ ">
                  <c:v>2006</c:v>
                </c:pt>
                <c:pt idx="7" c:formatCode="0.00_ ">
                  <c:v>2007</c:v>
                </c:pt>
                <c:pt idx="8" c:formatCode="0.00_ ">
                  <c:v>2008</c:v>
                </c:pt>
                <c:pt idx="9" c:formatCode="0.00_ ">
                  <c:v>2009</c:v>
                </c:pt>
                <c:pt idx="10" c:formatCode="0.00_ ">
                  <c:v>2010</c:v>
                </c:pt>
                <c:pt idx="11" c:formatCode="0.00_ ">
                  <c:v>2011</c:v>
                </c:pt>
                <c:pt idx="12" c:formatCode="0.00_ ">
                  <c:v>2012</c:v>
                </c:pt>
                <c:pt idx="13" c:formatCode="0.00_ ">
                  <c:v>2013</c:v>
                </c:pt>
                <c:pt idx="14" c:formatCode="0.00_ ">
                  <c:v>2014</c:v>
                </c:pt>
                <c:pt idx="15" c:formatCode="0.00_ ">
                  <c:v>2015</c:v>
                </c:pt>
                <c:pt idx="16" c:formatCode="0.00_ ">
                  <c:v>2016</c:v>
                </c:pt>
                <c:pt idx="17" c:formatCode="0.00_ ">
                  <c:v>2017</c:v>
                </c:pt>
                <c:pt idx="18" c:formatCode="0.00_ ">
                  <c:v>2018</c:v>
                </c:pt>
                <c:pt idx="19" c:formatCode="0.00_ ">
                  <c:v>2019</c:v>
                </c:pt>
                <c:pt idx="20" c:formatCode="0.00_ ">
                  <c:v>2020</c:v>
                </c:pt>
                <c:pt idx="21" c:formatCode="0.00_ ">
                  <c:v>2021</c:v>
                </c:pt>
                <c:pt idx="22" c:formatCode="0.00_ ">
                  <c:v>2022</c:v>
                </c:pt>
                <c:pt idx="23" c:formatCode="0.00_ ">
                  <c:v>2023</c:v>
                </c:pt>
                <c:pt idx="24">
                  <c:v>2024</c:v>
                </c:pt>
                <c:pt idx="25">
                  <c:v>2025</c:v>
                </c:pt>
              </c:strCache>
            </c:strRef>
          </c:cat>
          <c:val>
            <c:numRef>
              <c:f>'[202411威宁数据 .xls]Sheet1'!$J$2:$J$27</c:f>
              <c:numCache>
                <c:formatCode>General</c:formatCode>
                <c:ptCount val="26"/>
                <c:pt idx="0">
                  <c:v>88</c:v>
                </c:pt>
                <c:pt idx="1">
                  <c:v>108</c:v>
                </c:pt>
                <c:pt idx="2">
                  <c:v>176.7</c:v>
                </c:pt>
                <c:pt idx="3">
                  <c:v>41</c:v>
                </c:pt>
                <c:pt idx="4">
                  <c:v>150.6</c:v>
                </c:pt>
                <c:pt idx="5">
                  <c:v>131.7</c:v>
                </c:pt>
                <c:pt idx="6">
                  <c:v>34.7</c:v>
                </c:pt>
                <c:pt idx="7">
                  <c:v>186.5</c:v>
                </c:pt>
                <c:pt idx="8">
                  <c:v>243.6</c:v>
                </c:pt>
                <c:pt idx="9">
                  <c:v>91.7</c:v>
                </c:pt>
                <c:pt idx="10">
                  <c:v>148.9</c:v>
                </c:pt>
                <c:pt idx="11">
                  <c:v>66.8</c:v>
                </c:pt>
                <c:pt idx="12">
                  <c:v>79.3</c:v>
                </c:pt>
                <c:pt idx="13">
                  <c:v>120.3</c:v>
                </c:pt>
                <c:pt idx="14">
                  <c:v>465.7</c:v>
                </c:pt>
                <c:pt idx="15">
                  <c:v>254.6</c:v>
                </c:pt>
                <c:pt idx="16">
                  <c:v>147.4</c:v>
                </c:pt>
                <c:pt idx="17">
                  <c:v>171</c:v>
                </c:pt>
                <c:pt idx="18">
                  <c:v>134.5</c:v>
                </c:pt>
                <c:pt idx="19">
                  <c:v>76.4</c:v>
                </c:pt>
                <c:pt idx="20">
                  <c:v>135.4</c:v>
                </c:pt>
                <c:pt idx="21">
                  <c:v>191.2</c:v>
                </c:pt>
                <c:pt idx="22">
                  <c:v>46.6</c:v>
                </c:pt>
                <c:pt idx="23">
                  <c:v>112.3</c:v>
                </c:pt>
                <c:pt idx="24">
                  <c:v>42.7</c:v>
                </c:pt>
                <c:pt idx="25">
                  <c:v>132.1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0"/>
        <c:axId val="509002312"/>
        <c:axId val="672580030"/>
      </c:barChart>
      <c:lineChart>
        <c:grouping val="standard"/>
        <c:varyColors val="0"/>
        <c:ser>
          <c:idx val="1"/>
          <c:order val="1"/>
          <c:tx>
            <c:strRef>
              <c:f>'[202411威宁数据 .xls]Sheet1'!$K$1</c:f>
              <c:strCache>
                <c:ptCount val="1"/>
                <c:pt idx="0">
                  <c:v>常年值</c:v>
                </c:pt>
              </c:strCache>
            </c:strRef>
          </c:tx>
          <c:spPr>
            <a:ln w="12700" cap="rnd" cmpd="sng" algn="ctr">
              <a:solidFill>
                <a:schemeClr val="tx1">
                  <a:alpha val="100000"/>
                </a:schemeClr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multiLvlStrRef>
              <c:f>'[202411威宁数据 .xls]Sheet1'!$I$2:$J$27</c:f>
              <c:multiLvlStrCache>
                <c:ptCount val="26"/>
                <c:lvl>
                  <c:pt idx="0">
                    <c:v>88</c:v>
                  </c:pt>
                  <c:pt idx="1">
                    <c:v>108</c:v>
                  </c:pt>
                  <c:pt idx="2">
                    <c:v>176.7</c:v>
                  </c:pt>
                  <c:pt idx="3">
                    <c:v>41</c:v>
                  </c:pt>
                  <c:pt idx="4">
                    <c:v>150.6</c:v>
                  </c:pt>
                  <c:pt idx="5">
                    <c:v>131.7</c:v>
                  </c:pt>
                  <c:pt idx="6">
                    <c:v>34.7</c:v>
                  </c:pt>
                  <c:pt idx="7">
                    <c:v>186.5</c:v>
                  </c:pt>
                  <c:pt idx="8">
                    <c:v>243.6</c:v>
                  </c:pt>
                  <c:pt idx="9">
                    <c:v>91.7</c:v>
                  </c:pt>
                  <c:pt idx="10">
                    <c:v>148.9</c:v>
                  </c:pt>
                  <c:pt idx="11">
                    <c:v>66.8</c:v>
                  </c:pt>
                  <c:pt idx="12">
                    <c:v>79.3</c:v>
                  </c:pt>
                  <c:pt idx="13">
                    <c:v>120.3</c:v>
                  </c:pt>
                  <c:pt idx="14">
                    <c:v>465.7</c:v>
                  </c:pt>
                  <c:pt idx="15">
                    <c:v>254.6</c:v>
                  </c:pt>
                  <c:pt idx="16">
                    <c:v>147.4</c:v>
                  </c:pt>
                  <c:pt idx="17">
                    <c:v>171</c:v>
                  </c:pt>
                  <c:pt idx="18">
                    <c:v>134.5</c:v>
                  </c:pt>
                  <c:pt idx="19">
                    <c:v>76.4</c:v>
                  </c:pt>
                  <c:pt idx="20">
                    <c:v>135.4</c:v>
                  </c:pt>
                  <c:pt idx="21">
                    <c:v>191.2</c:v>
                  </c:pt>
                  <c:pt idx="22">
                    <c:v>46.6</c:v>
                  </c:pt>
                  <c:pt idx="23">
                    <c:v>112.3</c:v>
                  </c:pt>
                  <c:pt idx="24">
                    <c:v>42.7</c:v>
                  </c:pt>
                  <c:pt idx="25">
                    <c:v>132.1</c:v>
                  </c:pt>
                </c:lvl>
                <c:lvl>
                  <c:pt idx="0" c:formatCode="0.00_ ">
                    <c:v>2000</c:v>
                  </c:pt>
                  <c:pt idx="1" c:formatCode="0.00_ ">
                    <c:v>2001</c:v>
                  </c:pt>
                  <c:pt idx="2" c:formatCode="0.00_ ">
                    <c:v>2002</c:v>
                  </c:pt>
                  <c:pt idx="3" c:formatCode="0.00_ ">
                    <c:v>2003</c:v>
                  </c:pt>
                  <c:pt idx="4" c:formatCode="0.00_ ">
                    <c:v>2004</c:v>
                  </c:pt>
                  <c:pt idx="5" c:formatCode="0.00_ ">
                    <c:v>2005</c:v>
                  </c:pt>
                  <c:pt idx="6" c:formatCode="0.00_ ">
                    <c:v>2006</c:v>
                  </c:pt>
                  <c:pt idx="7" c:formatCode="0.00_ ">
                    <c:v>2007</c:v>
                  </c:pt>
                  <c:pt idx="8" c:formatCode="0.00_ ">
                    <c:v>2008</c:v>
                  </c:pt>
                  <c:pt idx="9" c:formatCode="0.00_ ">
                    <c:v>2009</c:v>
                  </c:pt>
                  <c:pt idx="10" c:formatCode="0.00_ ">
                    <c:v>2010</c:v>
                  </c:pt>
                  <c:pt idx="11" c:formatCode="0.00_ ">
                    <c:v>2011</c:v>
                  </c:pt>
                  <c:pt idx="12" c:formatCode="0.00_ ">
                    <c:v>2012</c:v>
                  </c:pt>
                  <c:pt idx="13" c:formatCode="0.00_ ">
                    <c:v>2013</c:v>
                  </c:pt>
                  <c:pt idx="14" c:formatCode="0.00_ ">
                    <c:v>2014</c:v>
                  </c:pt>
                  <c:pt idx="15" c:formatCode="0.00_ ">
                    <c:v>2015</c:v>
                  </c:pt>
                  <c:pt idx="16" c:formatCode="0.00_ ">
                    <c:v>2016</c:v>
                  </c:pt>
                  <c:pt idx="17" c:formatCode="0.00_ ">
                    <c:v>2017</c:v>
                  </c:pt>
                  <c:pt idx="18" c:formatCode="0.00_ ">
                    <c:v>2018</c:v>
                  </c:pt>
                  <c:pt idx="19" c:formatCode="0.00_ ">
                    <c:v>2019</c:v>
                  </c:pt>
                  <c:pt idx="20" c:formatCode="0.00_ ">
                    <c:v>2020</c:v>
                  </c:pt>
                  <c:pt idx="21" c:formatCode="0.00_ ">
                    <c:v>2021</c:v>
                  </c:pt>
                  <c:pt idx="22" c:formatCode="0.00_ ">
                    <c:v>2022</c:v>
                  </c:pt>
                  <c:pt idx="23" c:formatCode="0.00_ ">
                    <c:v>2023</c:v>
                  </c:pt>
                  <c:pt idx="24">
                    <c:v>2024</c:v>
                  </c:pt>
                  <c:pt idx="25">
                    <c:v>2025</c:v>
                  </c:pt>
                </c:lvl>
              </c:multiLvlStrCache>
            </c:multiLvlStrRef>
          </c:cat>
          <c:val>
            <c:numRef>
              <c:f>'[202411威宁数据 .xls]Sheet1'!$K$2:$K$27</c:f>
              <c:numCache>
                <c:formatCode>0.0_ </c:formatCode>
                <c:ptCount val="26"/>
                <c:pt idx="0">
                  <c:v>148.2</c:v>
                </c:pt>
                <c:pt idx="1">
                  <c:v>148.2</c:v>
                </c:pt>
                <c:pt idx="2">
                  <c:v>148.2</c:v>
                </c:pt>
                <c:pt idx="3">
                  <c:v>148.2</c:v>
                </c:pt>
                <c:pt idx="4">
                  <c:v>148.2</c:v>
                </c:pt>
                <c:pt idx="5">
                  <c:v>148.2</c:v>
                </c:pt>
                <c:pt idx="6">
                  <c:v>148.2</c:v>
                </c:pt>
                <c:pt idx="7">
                  <c:v>148.2</c:v>
                </c:pt>
                <c:pt idx="8">
                  <c:v>148.2</c:v>
                </c:pt>
                <c:pt idx="9">
                  <c:v>148.2</c:v>
                </c:pt>
                <c:pt idx="10">
                  <c:v>148.2</c:v>
                </c:pt>
                <c:pt idx="11">
                  <c:v>148.2</c:v>
                </c:pt>
                <c:pt idx="12">
                  <c:v>148.2</c:v>
                </c:pt>
                <c:pt idx="13">
                  <c:v>148.2</c:v>
                </c:pt>
                <c:pt idx="14">
                  <c:v>148.2</c:v>
                </c:pt>
                <c:pt idx="15">
                  <c:v>148.2</c:v>
                </c:pt>
                <c:pt idx="16">
                  <c:v>148.2</c:v>
                </c:pt>
                <c:pt idx="17">
                  <c:v>148.2</c:v>
                </c:pt>
                <c:pt idx="18">
                  <c:v>148.2</c:v>
                </c:pt>
                <c:pt idx="19">
                  <c:v>148.2</c:v>
                </c:pt>
                <c:pt idx="20">
                  <c:v>148.2</c:v>
                </c:pt>
                <c:pt idx="21">
                  <c:v>148.2</c:v>
                </c:pt>
                <c:pt idx="22">
                  <c:v>148.2</c:v>
                </c:pt>
                <c:pt idx="23">
                  <c:v>148.2</c:v>
                </c:pt>
                <c:pt idx="24">
                  <c:v>148.2</c:v>
                </c:pt>
                <c:pt idx="25">
                  <c:v>148.2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509002312"/>
        <c:axId val="672580030"/>
      </c:lineChart>
      <c:catAx>
        <c:axId val="509002312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175" b="0" i="0" u="none" strike="noStrike" kern="1200" baseline="0">
                    <a:solidFill>
                      <a:srgbClr val="000000">
                        <a:alpha val="100000"/>
                      </a:srgbClr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  <a:r>
                  <a:rPr lang="en-US" altLang="zh-CN"/>
                  <a:t>mm</a:t>
                </a:r>
                <a:endParaRPr lang="en-US" altLang="zh-CN" sz="1175" b="0" i="0" u="none" strike="noStrike" baseline="0">
                  <a:solidFill>
                    <a:srgbClr val="000000">
                      <a:alpha val="100000"/>
                    </a:srgbClr>
                  </a:solidFill>
                  <a:latin typeface="宋体" panose="02010600030101010101" charset="-122"/>
                  <a:ea typeface="宋体" panose="02010600030101010101" charset="-122"/>
                  <a:cs typeface="宋体" panose="02010600030101010101" charset="-122"/>
                </a:endParaRPr>
              </a:p>
            </c:rich>
          </c:tx>
          <c:layout>
            <c:manualLayout>
              <c:xMode val="edge"/>
              <c:yMode val="edge"/>
              <c:x val="0.0286689140858074"/>
              <c:y val="0.0561368675194799"/>
            </c:manualLayout>
          </c:layout>
          <c:overlay val="0"/>
        </c:title>
        <c:majorTickMark val="in"/>
        <c:minorTickMark val="none"/>
        <c:tickLblPos val="nextTo"/>
        <c:spPr>
          <a:ln w="3175" cap="flat" cmpd="sng" algn="ctr">
            <a:solidFill>
              <a:srgbClr val="000000">
                <a:alpha val="100000"/>
              </a:srgbClr>
            </a:solidFill>
            <a:prstDash val="solid"/>
            <a:round/>
          </a:ln>
        </c:spPr>
        <c:txPr>
          <a:bodyPr rot="-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>
                    <a:alpha val="100000"/>
                  </a:srgb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672580030"/>
        <c:crossesAt val="0"/>
        <c:auto val="1"/>
        <c:lblAlgn val="ctr"/>
        <c:lblOffset val="100"/>
        <c:noMultiLvlLbl val="0"/>
      </c:catAx>
      <c:valAx>
        <c:axId val="672580030"/>
        <c:scaling>
          <c:orientation val="minMax"/>
          <c:max val="250"/>
          <c:min val="80"/>
        </c:scaling>
        <c:delete val="0"/>
        <c:axPos val="l"/>
        <c:title>
          <c:tx>
            <c:rich>
              <a:bodyPr rot="0" spcFirstLastPara="0" vertOverflow="ellipsis" vert="mongolianVert" wrap="square" anchor="ctr" anchorCtr="1"/>
              <a:lstStyle/>
              <a:p>
                <a:pPr defTabSz="914400">
                  <a:defRPr lang="zh-CN" sz="1175" b="0" i="0" u="none" strike="noStrike" kern="1200" baseline="0">
                    <a:solidFill>
                      <a:srgbClr val="000000">
                        <a:alpha val="100000"/>
                      </a:srgbClr>
                    </a:solidFill>
                    <a:latin typeface="宋体" panose="02010600030101010101" charset="-122"/>
                    <a:ea typeface="宋体" panose="02010600030101010101" charset="-122"/>
                    <a:cs typeface="宋体" panose="02010600030101010101" charset="-122"/>
                  </a:defRPr>
                </a:pPr>
                <a:r>
                  <a:rPr altLang="en-US"/>
                  <a:t>年份</a:t>
                </a:r>
                <a:endParaRPr lang="en-US" altLang="zh-CN" sz="1175" b="0" i="0" u="none" strike="noStrike" baseline="0">
                  <a:solidFill>
                    <a:srgbClr val="000000">
                      <a:alpha val="100000"/>
                    </a:srgbClr>
                  </a:solidFill>
                  <a:latin typeface="宋体" panose="02010600030101010101" charset="-122"/>
                  <a:ea typeface="宋体" panose="02010600030101010101" charset="-122"/>
                  <a:cs typeface="宋体" panose="02010600030101010101" charset="-122"/>
                </a:endParaRPr>
              </a:p>
            </c:rich>
          </c:tx>
          <c:layout>
            <c:manualLayout>
              <c:xMode val="edge"/>
              <c:yMode val="edge"/>
              <c:x val="0.940417194883024"/>
              <c:y val="0.792518230432669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3175" cap="flat" cmpd="sng" algn="ctr">
            <a:solidFill>
              <a:srgbClr val="000000">
                <a:alpha val="100000"/>
              </a:srgbClr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>
                    <a:alpha val="100000"/>
                  </a:srgbClr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509002312"/>
        <c:crosses val="autoZero"/>
        <c:crossBetween val="between"/>
        <c:majorUnit val="30"/>
        <c:minorUnit val="10"/>
      </c:valAx>
      <c:spPr>
        <a:noFill/>
        <a:ln w="3175">
          <a:noFill/>
        </a:ln>
      </c:spPr>
    </c:plotArea>
    <c:legend>
      <c:legendPos val="r"/>
      <c:layout>
        <c:manualLayout>
          <c:xMode val="edge"/>
          <c:yMode val="edge"/>
          <c:x val="0.3225"/>
          <c:y val="0.01775"/>
          <c:w val="0.29575"/>
          <c:h val="0.08625"/>
        </c:manualLayout>
      </c:layout>
      <c:overlay val="0"/>
      <c:spPr>
        <a:solidFill>
          <a:srgbClr val="FFFFFF">
            <a:alpha val="100000"/>
          </a:srgbClr>
        </a:solidFill>
        <a:ln w="3175">
          <a:solidFill>
            <a:srgbClr val="000000">
              <a:alpha val="100000"/>
            </a:srgbClr>
          </a:solidFill>
          <a:prstDash val="solid"/>
        </a:ln>
      </c:spPr>
      <c:txPr>
        <a:bodyPr rot="0" spcFirstLastPara="0" vertOverflow="ellipsis" vert="horz" wrap="square" anchor="ctr" anchorCtr="1"/>
        <a:lstStyle/>
        <a:p>
          <a:pPr>
            <a:defRPr lang="zh-CN" sz="108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56db758-728e-4c17-a91e-613817dd3e9f}"/>
      </c:ext>
    </c:extLst>
  </c:chart>
  <c:spPr>
    <a:solidFill>
      <a:srgbClr val="FFFFFF">
        <a:alpha val="100000"/>
      </a:srgbClr>
    </a:solidFill>
    <a:ln w="12700" cap="flat" cmpd="sng" algn="ctr">
      <a:solidFill>
        <a:srgbClr val="000000"/>
      </a:solidFill>
      <a:prstDash val="sysDot"/>
      <a:round/>
    </a:ln>
  </c:spPr>
  <c:txPr>
    <a:bodyPr rot="0" wrap="square" anchor="ctr" anchorCtr="1"/>
    <a:lstStyle/>
    <a:p>
      <a:pPr>
        <a:defRPr lang="zh-CN" sz="117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0.00098</cdr:x>
      <cdr:y>0.00072</cdr:y>
    </cdr:from>
    <cdr:to>
      <cdr:x>0.00098</cdr:x>
      <cdr:y>0.00072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10" y="4"/>
          <a:ext cx="0" cy="0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Overflow="clip" vert="horz" wrap="square" lIns="45720" tIns="45720" rIns="45720" bIns="45720" rtlCol="0" anchor="t" anchorCtr="0">
          <a:normAutofit/>
        </a:bodyPr>
        <a:lstStyle/>
        <a:p>
          <a:r>
            <a:rPr lang="zh-CN" altLang="en-US" sz="1200"/>
            <a:t>毫米</a:t>
          </a:r>
          <a:endParaRPr lang="zh-CN" altLang="en-US" sz="1200"/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3</Pages>
  <Words>420</Words>
  <Characters>513</Characters>
  <Lines>4</Lines>
  <Paragraphs>1</Paragraphs>
  <TotalTime>62</TotalTime>
  <ScaleCrop>false</ScaleCrop>
  <LinksUpToDate>false</LinksUpToDate>
  <CharactersWithSpaces>548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2025-03-06T07:41:00Z</dcterms:created>
  <dc:creator>gw</dc:creator>
  <cp:lastModifiedBy>明太</cp:lastModifiedBy>
  <dcterms:modified xsi:type="dcterms:W3CDTF">2025-09-02T09:30:13Z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7AEFED63A99D457BBDF269A5E8A2A828_13</vt:lpwstr>
  </property>
  <property fmtid="{D5CDD505-2E9C-101B-9397-08002B2CF9AE}" pid="4" name="KSOTemplateDocerSaveRecord">
    <vt:lpwstr>eyJoZGlkIjoiZjg3NTQzYmExNjY3NWFiMDZjOGI2ZGE0NjRiYTMyYzQiLCJ1c2VySWQiOiIxMjM1ODUzMTI5In0=</vt:lpwstr>
  </property>
</Properties>
</file>