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凤冈县气象局202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caps w:val="0"/>
          <w:color w:val="393939"/>
          <w:spacing w:val="0"/>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凤冈县气象局202</w:t>
      </w:r>
      <w:r>
        <w:rPr>
          <w:rFonts w:hint="eastAsia" w:ascii="仿宋_GB2312" w:hAnsi="仿宋_GB2312" w:eastAsia="仿宋_GB2312" w:cs="仿宋_GB2312"/>
          <w:i w:val="0"/>
          <w:caps w:val="0"/>
          <w:color w:val="auto"/>
          <w:spacing w:val="0"/>
          <w:sz w:val="32"/>
          <w:szCs w:val="32"/>
          <w:shd w:val="clear" w:color="auto" w:fill="FFFFFF"/>
          <w:lang w:val="en-US" w:eastAsia="zh-CN"/>
        </w:rPr>
        <w:t>4</w:t>
      </w:r>
      <w:r>
        <w:rPr>
          <w:rFonts w:hint="eastAsia" w:ascii="仿宋_GB2312" w:hAnsi="仿宋_GB2312" w:eastAsia="仿宋_GB2312" w:cs="仿宋_GB2312"/>
          <w:i w:val="0"/>
          <w:caps w:val="0"/>
          <w:color w:val="auto"/>
          <w:spacing w:val="0"/>
          <w:sz w:val="32"/>
          <w:szCs w:val="32"/>
          <w:shd w:val="clear" w:color="auto" w:fill="FFFFFF"/>
          <w:lang w:eastAsia="zh-CN"/>
        </w:rPr>
        <w:t>年政府信息公开年度报告，是根据《中华人民共和国政府信息公开条例》的规定及</w:t>
      </w:r>
      <w:r>
        <w:rPr>
          <w:rFonts w:hint="eastAsia" w:ascii="仿宋_GB2312" w:hAnsi="仿宋_GB2312" w:eastAsia="仿宋_GB2312" w:cs="仿宋_GB2312"/>
          <w:i w:val="0"/>
          <w:caps w:val="0"/>
          <w:color w:val="auto"/>
          <w:spacing w:val="0"/>
          <w:sz w:val="32"/>
          <w:szCs w:val="32"/>
          <w:shd w:val="clear" w:color="auto" w:fill="FFFFFF"/>
          <w:lang w:val="en-US" w:eastAsia="zh-CN"/>
        </w:rPr>
        <w:t>上级</w:t>
      </w:r>
      <w:r>
        <w:rPr>
          <w:rFonts w:hint="eastAsia" w:ascii="仿宋_GB2312" w:hAnsi="仿宋_GB2312" w:eastAsia="仿宋_GB2312" w:cs="仿宋_GB2312"/>
          <w:i w:val="0"/>
          <w:caps w:val="0"/>
          <w:color w:val="auto"/>
          <w:spacing w:val="0"/>
          <w:sz w:val="32"/>
          <w:szCs w:val="32"/>
          <w:shd w:val="clear" w:color="auto" w:fill="FFFFFF"/>
          <w:lang w:eastAsia="zh-CN"/>
        </w:rPr>
        <w:t>相关要求，结合凤冈县气象局（以下统称：本单位）的政府信息公开情况编制而成。</w:t>
      </w:r>
      <w:r>
        <w:rPr>
          <w:rFonts w:hint="eastAsia" w:ascii="仿宋_GB2312" w:hAnsi="仿宋_GB2312" w:eastAsia="仿宋_GB2312" w:cs="仿宋_GB2312"/>
          <w:i w:val="0"/>
          <w:caps w:val="0"/>
          <w:color w:val="auto"/>
          <w:spacing w:val="0"/>
          <w:sz w:val="32"/>
          <w:szCs w:val="32"/>
          <w:shd w:val="clear" w:color="auto" w:fill="FFFFFF"/>
        </w:rPr>
        <w:t>本报告</w:t>
      </w:r>
      <w:r>
        <w:rPr>
          <w:rFonts w:hint="eastAsia" w:ascii="仿宋_GB2312" w:hAnsi="仿宋_GB2312" w:eastAsia="仿宋_GB2312" w:cs="仿宋_GB2312"/>
          <w:i w:val="0"/>
          <w:caps w:val="0"/>
          <w:color w:val="auto"/>
          <w:spacing w:val="0"/>
          <w:sz w:val="32"/>
          <w:szCs w:val="32"/>
          <w:shd w:val="clear" w:color="auto" w:fill="FFFFFF"/>
          <w:lang w:eastAsia="zh-CN"/>
        </w:rPr>
        <w:t>包括</w:t>
      </w:r>
      <w:r>
        <w:rPr>
          <w:rFonts w:hint="eastAsia" w:ascii="仿宋_GB2312" w:hAnsi="仿宋_GB2312" w:eastAsia="仿宋_GB2312" w:cs="仿宋_GB2312"/>
          <w:i w:val="0"/>
          <w:caps w:val="0"/>
          <w:color w:val="auto"/>
          <w:spacing w:val="0"/>
          <w:sz w:val="32"/>
          <w:szCs w:val="32"/>
          <w:shd w:val="clear" w:color="auto" w:fill="FFFFFF"/>
        </w:rPr>
        <w:t>“总体情况、主动公开政府信息情况、收到和处理政府信息公开申请情况、政府信息公开行政复议和行政诉讼情况、存在的主要问题及改进</w:t>
      </w:r>
      <w:r>
        <w:rPr>
          <w:rFonts w:hint="eastAsia" w:ascii="仿宋_GB2312" w:hAnsi="仿宋_GB2312" w:eastAsia="仿宋_GB2312" w:cs="仿宋_GB2312"/>
          <w:i w:val="0"/>
          <w:caps w:val="0"/>
          <w:color w:val="auto"/>
          <w:spacing w:val="0"/>
          <w:sz w:val="32"/>
          <w:szCs w:val="32"/>
          <w:shd w:val="clear" w:color="auto" w:fill="FFFFFF"/>
          <w:lang w:val="en-US" w:eastAsia="zh-CN"/>
        </w:rPr>
        <w:t>情况</w:t>
      </w:r>
      <w:r>
        <w:rPr>
          <w:rFonts w:hint="eastAsia" w:ascii="仿宋_GB2312" w:hAnsi="仿宋_GB2312" w:eastAsia="仿宋_GB2312" w:cs="仿宋_GB2312"/>
          <w:i w:val="0"/>
          <w:caps w:val="0"/>
          <w:color w:val="auto"/>
          <w:spacing w:val="0"/>
          <w:sz w:val="32"/>
          <w:szCs w:val="32"/>
          <w:shd w:val="clear" w:color="auto" w:fill="FFFFFF"/>
        </w:rPr>
        <w:t>、其他需要报告的事项”</w:t>
      </w:r>
      <w:r>
        <w:rPr>
          <w:rFonts w:hint="eastAsia" w:ascii="仿宋_GB2312" w:hAnsi="仿宋_GB2312" w:eastAsia="仿宋_GB2312" w:cs="仿宋_GB2312"/>
          <w:i w:val="0"/>
          <w:caps w:val="0"/>
          <w:color w:val="auto"/>
          <w:spacing w:val="0"/>
          <w:sz w:val="32"/>
          <w:szCs w:val="32"/>
          <w:shd w:val="clear" w:color="auto" w:fill="FFFFFF"/>
          <w:lang w:eastAsia="zh-CN"/>
        </w:rPr>
        <w:t>六项内容</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报告中</w:t>
      </w:r>
      <w:r>
        <w:rPr>
          <w:rFonts w:hint="eastAsia" w:ascii="仿宋_GB2312" w:hAnsi="仿宋_GB2312" w:eastAsia="仿宋_GB2312" w:cs="仿宋_GB2312"/>
          <w:i w:val="0"/>
          <w:caps w:val="0"/>
          <w:color w:val="auto"/>
          <w:spacing w:val="0"/>
          <w:sz w:val="32"/>
          <w:szCs w:val="32"/>
          <w:shd w:val="clear" w:color="auto" w:fill="FFFFFF"/>
        </w:rPr>
        <w:t>所列数据统计时限为202</w:t>
      </w:r>
      <w:r>
        <w:rPr>
          <w:rFonts w:hint="eastAsia" w:ascii="仿宋_GB2312" w:hAnsi="仿宋_GB2312" w:eastAsia="仿宋_GB2312" w:cs="仿宋_GB2312"/>
          <w:i w:val="0"/>
          <w:caps w:val="0"/>
          <w:color w:val="auto"/>
          <w:spacing w:val="0"/>
          <w:sz w:val="32"/>
          <w:szCs w:val="32"/>
          <w:shd w:val="clear" w:color="auto" w:fill="FFFFFF"/>
          <w:lang w:val="en-US" w:eastAsia="zh-CN"/>
        </w:rPr>
        <w:t>4</w:t>
      </w:r>
      <w:r>
        <w:rPr>
          <w:rFonts w:hint="eastAsia" w:ascii="仿宋_GB2312" w:hAnsi="仿宋_GB2312" w:eastAsia="仿宋_GB2312" w:cs="仿宋_GB2312"/>
          <w:i w:val="0"/>
          <w:caps w:val="0"/>
          <w:color w:val="auto"/>
          <w:spacing w:val="0"/>
          <w:sz w:val="32"/>
          <w:szCs w:val="32"/>
          <w:shd w:val="clear" w:color="auto" w:fill="FFFFFF"/>
        </w:rPr>
        <w:t>年1月1日至202</w:t>
      </w:r>
      <w:r>
        <w:rPr>
          <w:rFonts w:hint="eastAsia" w:ascii="仿宋_GB2312" w:hAnsi="仿宋_GB2312" w:eastAsia="仿宋_GB2312" w:cs="仿宋_GB2312"/>
          <w:i w:val="0"/>
          <w:caps w:val="0"/>
          <w:color w:val="auto"/>
          <w:spacing w:val="0"/>
          <w:sz w:val="32"/>
          <w:szCs w:val="32"/>
          <w:shd w:val="clear" w:color="auto" w:fill="FFFFFF"/>
          <w:lang w:val="en-US" w:eastAsia="zh-CN"/>
        </w:rPr>
        <w:t>4</w:t>
      </w:r>
      <w:r>
        <w:rPr>
          <w:rFonts w:hint="eastAsia" w:ascii="仿宋_GB2312" w:hAnsi="仿宋_GB2312" w:eastAsia="仿宋_GB2312" w:cs="仿宋_GB2312"/>
          <w:i w:val="0"/>
          <w:caps w:val="0"/>
          <w:color w:val="auto"/>
          <w:spacing w:val="0"/>
          <w:sz w:val="32"/>
          <w:szCs w:val="32"/>
          <w:shd w:val="clear" w:color="auto" w:fill="FFFFFF"/>
        </w:rPr>
        <w:t>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宋体" w:hAnsi="宋体" w:eastAsia="宋体" w:cs="宋体"/>
          <w:i w:val="0"/>
          <w:iCs w:val="0"/>
          <w:caps w:val="0"/>
          <w:color w:val="auto"/>
          <w:spacing w:val="0"/>
          <w:sz w:val="32"/>
          <w:szCs w:val="32"/>
        </w:rPr>
      </w:pPr>
      <w:r>
        <w:rPr>
          <w:rStyle w:val="5"/>
          <w:rFonts w:ascii="黑体" w:hAnsi="宋体" w:eastAsia="黑体" w:cs="黑体"/>
          <w:i w:val="0"/>
          <w:iCs w:val="0"/>
          <w:caps w:val="0"/>
          <w:color w:val="auto"/>
          <w:spacing w:val="0"/>
          <w:sz w:val="32"/>
          <w:szCs w:val="32"/>
          <w:shd w:val="clear"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eastAsia="zh-CN"/>
        </w:rPr>
        <w:t>202</w:t>
      </w:r>
      <w:r>
        <w:rPr>
          <w:rFonts w:hint="eastAsia" w:ascii="仿宋_GB2312" w:hAnsi="仿宋_GB2312" w:eastAsia="仿宋_GB2312" w:cs="仿宋_GB2312"/>
          <w:i w:val="0"/>
          <w:caps w:val="0"/>
          <w:color w:val="auto"/>
          <w:spacing w:val="0"/>
          <w:sz w:val="32"/>
          <w:szCs w:val="32"/>
          <w:shd w:val="clear" w:color="auto" w:fill="FFFFFF"/>
          <w:lang w:val="en-US" w:eastAsia="zh-CN"/>
        </w:rPr>
        <w:t>4</w:t>
      </w:r>
      <w:r>
        <w:rPr>
          <w:rFonts w:hint="eastAsia" w:ascii="仿宋_GB2312" w:hAnsi="仿宋_GB2312" w:eastAsia="仿宋_GB2312" w:cs="仿宋_GB2312"/>
          <w:i w:val="0"/>
          <w:caps w:val="0"/>
          <w:color w:val="auto"/>
          <w:spacing w:val="0"/>
          <w:sz w:val="32"/>
          <w:szCs w:val="32"/>
          <w:shd w:val="clear" w:color="auto" w:fill="FFFFFF"/>
          <w:lang w:eastAsia="zh-CN"/>
        </w:rPr>
        <w:t>年，凤冈县气象局政府信息公开工作</w:t>
      </w:r>
      <w:r>
        <w:rPr>
          <w:rFonts w:hint="eastAsia" w:ascii="仿宋_GB2312" w:hAnsi="仿宋_GB2312" w:eastAsia="仿宋_GB2312" w:cs="仿宋_GB2312"/>
          <w:i w:val="0"/>
          <w:caps w:val="0"/>
          <w:color w:val="auto"/>
          <w:spacing w:val="0"/>
          <w:sz w:val="32"/>
          <w:szCs w:val="32"/>
          <w:shd w:val="clear" w:color="auto" w:fill="FFFFFF"/>
          <w:lang w:val="en-US" w:eastAsia="zh-CN"/>
        </w:rPr>
        <w:t>坚持</w:t>
      </w:r>
      <w:r>
        <w:rPr>
          <w:rFonts w:hint="eastAsia" w:ascii="仿宋_GB2312" w:hAnsi="仿宋_GB2312" w:eastAsia="仿宋_GB2312" w:cs="仿宋_GB2312"/>
          <w:i w:val="0"/>
          <w:caps w:val="0"/>
          <w:color w:val="auto"/>
          <w:spacing w:val="0"/>
          <w:sz w:val="32"/>
          <w:szCs w:val="32"/>
          <w:shd w:val="clear" w:color="auto" w:fill="FFFFFF"/>
          <w:lang w:eastAsia="zh-CN"/>
        </w:rPr>
        <w:t>以习近平新时代中国特色社会主义思想为指导，全面贯彻党的</w:t>
      </w:r>
      <w:r>
        <w:rPr>
          <w:rFonts w:hint="eastAsia" w:ascii="仿宋_GB2312" w:hAnsi="仿宋_GB2312" w:eastAsia="仿宋_GB2312" w:cs="仿宋_GB2312"/>
          <w:i w:val="0"/>
          <w:caps w:val="0"/>
          <w:color w:val="auto"/>
          <w:spacing w:val="0"/>
          <w:sz w:val="32"/>
          <w:szCs w:val="32"/>
          <w:shd w:val="clear" w:color="auto" w:fill="FFFFFF"/>
          <w:lang w:val="en-US" w:eastAsia="zh-CN"/>
        </w:rPr>
        <w:t>二十大</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二十届三中全会精神</w:t>
      </w:r>
      <w:r>
        <w:rPr>
          <w:rFonts w:hint="eastAsia" w:ascii="仿宋_GB2312" w:hAnsi="仿宋_GB2312" w:eastAsia="仿宋_GB2312" w:cs="仿宋_GB2312"/>
          <w:i w:val="0"/>
          <w:caps w:val="0"/>
          <w:color w:val="auto"/>
          <w:spacing w:val="0"/>
          <w:sz w:val="32"/>
          <w:szCs w:val="32"/>
          <w:shd w:val="clear" w:color="auto" w:fill="FFFFFF"/>
          <w:lang w:eastAsia="zh-CN"/>
        </w:rPr>
        <w:t>，深入贯彻落实《中华人民共和国政府信息公开条例》</w:t>
      </w:r>
      <w:r>
        <w:rPr>
          <w:rFonts w:hint="eastAsia" w:ascii="仿宋_GB2312" w:hAnsi="仿宋_GB2312" w:eastAsia="仿宋_GB2312" w:cs="仿宋_GB2312"/>
          <w:i w:val="0"/>
          <w:caps w:val="0"/>
          <w:color w:val="auto"/>
          <w:spacing w:val="0"/>
          <w:sz w:val="32"/>
          <w:szCs w:val="32"/>
          <w:shd w:val="clear" w:color="auto" w:fill="FFFFFF"/>
          <w:lang w:val="en-US" w:eastAsia="zh-CN"/>
        </w:rPr>
        <w:t>和</w:t>
      </w:r>
      <w:r>
        <w:rPr>
          <w:rFonts w:hint="eastAsia" w:ascii="仿宋_GB2312" w:hAnsi="仿宋_GB2312" w:eastAsia="仿宋_GB2312" w:cs="仿宋_GB2312"/>
          <w:i w:val="0"/>
          <w:caps w:val="0"/>
          <w:color w:val="auto"/>
          <w:spacing w:val="0"/>
          <w:sz w:val="32"/>
          <w:szCs w:val="32"/>
          <w:shd w:val="clear" w:color="auto" w:fill="FFFFFF"/>
          <w:lang w:eastAsia="zh-CN"/>
        </w:rPr>
        <w:t>省、市气象局</w:t>
      </w:r>
      <w:r>
        <w:rPr>
          <w:rFonts w:hint="eastAsia" w:ascii="仿宋_GB2312" w:hAnsi="仿宋_GB2312" w:eastAsia="仿宋_GB2312" w:cs="仿宋_GB2312"/>
          <w:i w:val="0"/>
          <w:caps w:val="0"/>
          <w:color w:val="auto"/>
          <w:spacing w:val="0"/>
          <w:sz w:val="32"/>
          <w:szCs w:val="32"/>
          <w:shd w:val="clear" w:color="auto" w:fill="FFFFFF"/>
          <w:lang w:val="en-US" w:eastAsia="zh-CN"/>
        </w:rPr>
        <w:t>以及</w:t>
      </w:r>
      <w:r>
        <w:rPr>
          <w:rFonts w:hint="eastAsia" w:ascii="仿宋_GB2312" w:hAnsi="仿宋_GB2312" w:eastAsia="仿宋_GB2312" w:cs="仿宋_GB2312"/>
          <w:i w:val="0"/>
          <w:caps w:val="0"/>
          <w:color w:val="auto"/>
          <w:spacing w:val="0"/>
          <w:sz w:val="32"/>
          <w:szCs w:val="32"/>
          <w:shd w:val="clear" w:color="auto" w:fill="FFFFFF"/>
          <w:lang w:eastAsia="zh-CN"/>
        </w:rPr>
        <w:t>县委、</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lang w:eastAsia="zh-CN"/>
        </w:rPr>
        <w:t>政府相关文件精神</w:t>
      </w:r>
      <w:r>
        <w:rPr>
          <w:rFonts w:hint="eastAsia" w:ascii="仿宋_GB2312" w:hAnsi="仿宋_GB2312" w:eastAsia="仿宋_GB2312" w:cs="仿宋_GB2312"/>
          <w:i w:val="0"/>
          <w:caps w:val="0"/>
          <w:color w:val="auto"/>
          <w:spacing w:val="0"/>
          <w:sz w:val="32"/>
          <w:szCs w:val="32"/>
          <w:shd w:val="clear" w:color="auto" w:fill="FFFFFF"/>
          <w:lang w:val="en-US" w:eastAsia="zh-CN"/>
        </w:rPr>
        <w:t>及</w:t>
      </w:r>
      <w:r>
        <w:rPr>
          <w:rFonts w:hint="eastAsia" w:ascii="仿宋_GB2312" w:hAnsi="仿宋_GB2312" w:eastAsia="仿宋_GB2312" w:cs="仿宋_GB2312"/>
          <w:i w:val="0"/>
          <w:caps w:val="0"/>
          <w:color w:val="auto"/>
          <w:spacing w:val="0"/>
          <w:sz w:val="32"/>
          <w:szCs w:val="32"/>
          <w:shd w:val="clear" w:color="auto" w:fill="FFFFFF"/>
          <w:lang w:eastAsia="zh-CN"/>
        </w:rPr>
        <w:t>要求，</w:t>
      </w:r>
      <w:r>
        <w:rPr>
          <w:rFonts w:hint="eastAsia" w:ascii="仿宋_GB2312" w:hAnsi="仿宋_GB2312" w:eastAsia="仿宋_GB2312" w:cs="仿宋_GB2312"/>
          <w:i w:val="0"/>
          <w:caps w:val="0"/>
          <w:color w:val="auto"/>
          <w:spacing w:val="0"/>
          <w:sz w:val="32"/>
          <w:szCs w:val="32"/>
          <w:shd w:val="clear" w:color="auto" w:fill="FFFFFF"/>
          <w:lang w:val="en-US" w:eastAsia="zh-CN"/>
        </w:rPr>
        <w:t>始终践行</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人民至上，生命至上</w:t>
      </w:r>
      <w:r>
        <w:rPr>
          <w:rFonts w:hint="eastAsia" w:ascii="仿宋_GB2312" w:hAnsi="仿宋_GB2312" w:eastAsia="仿宋_GB2312" w:cs="仿宋_GB2312"/>
          <w:i w:val="0"/>
          <w:caps w:val="0"/>
          <w:color w:val="auto"/>
          <w:spacing w:val="0"/>
          <w:sz w:val="32"/>
          <w:szCs w:val="32"/>
          <w:shd w:val="clear" w:color="auto" w:fill="FFFFFF"/>
          <w:lang w:eastAsia="zh-CN"/>
        </w:rPr>
        <w:t>”的服务理念，扎实、有序地推进政府信息公开工作。结合本单位工作实际，进一步完善政府信息公开工作制度，认真做好政府信息公开</w:t>
      </w:r>
      <w:r>
        <w:rPr>
          <w:rFonts w:hint="eastAsia" w:ascii="仿宋_GB2312" w:hAnsi="仿宋_GB2312" w:eastAsia="仿宋_GB2312" w:cs="仿宋_GB2312"/>
          <w:i w:val="0"/>
          <w:caps w:val="0"/>
          <w:color w:val="auto"/>
          <w:spacing w:val="0"/>
          <w:sz w:val="32"/>
          <w:szCs w:val="32"/>
          <w:shd w:val="clear" w:color="auto" w:fill="FFFFFF"/>
          <w:lang w:val="en-US" w:eastAsia="zh-CN"/>
        </w:rPr>
        <w:t>工作</w:t>
      </w:r>
      <w:r>
        <w:rPr>
          <w:rFonts w:hint="eastAsia" w:ascii="仿宋_GB2312" w:hAnsi="仿宋_GB2312" w:eastAsia="仿宋_GB2312" w:cs="仿宋_GB2312"/>
          <w:i w:val="0"/>
          <w:caps w:val="0"/>
          <w:color w:val="auto"/>
          <w:spacing w:val="0"/>
          <w:sz w:val="32"/>
          <w:szCs w:val="32"/>
          <w:shd w:val="clear" w:color="auto" w:fill="FFFFFF"/>
          <w:lang w:eastAsia="zh-CN"/>
        </w:rPr>
        <w:t>，切实加强政策解读和政民互动，着力提升政府信息公开工作规范化水平，为社会公众提供准确及时的政府信息服务。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楷体_GB2312" w:hAnsi="楷体_GB2312" w:eastAsia="楷体_GB2312" w:cs="楷体_GB2312"/>
          <w:i w:val="0"/>
          <w:caps w:val="0"/>
          <w:color w:val="auto"/>
          <w:spacing w:val="0"/>
          <w:sz w:val="32"/>
          <w:szCs w:val="32"/>
          <w:highlight w:val="none"/>
          <w:lang w:eastAsia="zh-CN"/>
        </w:rPr>
        <w:t>（一）健全政府信息公开领导和工作机构。</w:t>
      </w:r>
      <w:r>
        <w:rPr>
          <w:rFonts w:hint="eastAsia" w:ascii="仿宋_GB2312" w:hAnsi="仿宋_GB2312" w:eastAsia="仿宋_GB2312" w:cs="仿宋_GB2312"/>
          <w:i w:val="0"/>
          <w:caps w:val="0"/>
          <w:color w:val="auto"/>
          <w:spacing w:val="0"/>
          <w:sz w:val="32"/>
          <w:szCs w:val="32"/>
          <w:shd w:val="clear" w:color="auto" w:fill="FFFFFF"/>
          <w:lang w:eastAsia="zh-CN"/>
        </w:rPr>
        <w:t>切实加强本单位政府信息公开工作的组织领导，特成立领导小组，明确</w:t>
      </w:r>
      <w:r>
        <w:rPr>
          <w:rFonts w:hint="eastAsia" w:ascii="仿宋_GB2312" w:hAnsi="仿宋_GB2312" w:eastAsia="仿宋_GB2312" w:cs="仿宋_GB2312"/>
          <w:i w:val="0"/>
          <w:caps w:val="0"/>
          <w:color w:val="auto"/>
          <w:spacing w:val="0"/>
          <w:sz w:val="32"/>
          <w:szCs w:val="32"/>
          <w:shd w:val="clear" w:color="auto" w:fill="FFFFFF"/>
          <w:lang w:val="en-US" w:eastAsia="zh-CN"/>
        </w:rPr>
        <w:t>本单位</w:t>
      </w:r>
      <w:r>
        <w:rPr>
          <w:rFonts w:hint="eastAsia" w:ascii="仿宋_GB2312" w:hAnsi="仿宋_GB2312" w:eastAsia="仿宋_GB2312" w:cs="仿宋_GB2312"/>
          <w:i w:val="0"/>
          <w:caps w:val="0"/>
          <w:color w:val="auto"/>
          <w:spacing w:val="0"/>
          <w:sz w:val="32"/>
          <w:szCs w:val="32"/>
          <w:shd w:val="clear" w:color="auto" w:fill="FFFFFF"/>
          <w:lang w:eastAsia="zh-CN"/>
        </w:rPr>
        <w:t>局长</w:t>
      </w:r>
      <w:r>
        <w:rPr>
          <w:rFonts w:hint="eastAsia" w:ascii="仿宋_GB2312" w:hAnsi="仿宋_GB2312" w:eastAsia="仿宋_GB2312" w:cs="仿宋_GB2312"/>
          <w:i w:val="0"/>
          <w:caps w:val="0"/>
          <w:color w:val="auto"/>
          <w:spacing w:val="0"/>
          <w:sz w:val="32"/>
          <w:szCs w:val="32"/>
          <w:shd w:val="clear" w:color="auto" w:fill="FFFFFF"/>
          <w:lang w:val="en-US" w:eastAsia="zh-CN"/>
        </w:rPr>
        <w:t>为</w:t>
      </w:r>
      <w:r>
        <w:rPr>
          <w:rFonts w:hint="eastAsia" w:ascii="仿宋_GB2312" w:hAnsi="仿宋_GB2312" w:eastAsia="仿宋_GB2312" w:cs="仿宋_GB2312"/>
          <w:i w:val="0"/>
          <w:caps w:val="0"/>
          <w:color w:val="auto"/>
          <w:spacing w:val="0"/>
          <w:sz w:val="32"/>
          <w:szCs w:val="32"/>
          <w:shd w:val="clear" w:color="auto" w:fill="FFFFFF"/>
          <w:lang w:eastAsia="zh-CN"/>
        </w:rPr>
        <w:t>组长、副局长为副组长、各股室负责人为成员的政府信息公开工作领导小组，由局办公室牵头负责处理日常工作，明确</w:t>
      </w:r>
      <w:r>
        <w:rPr>
          <w:rFonts w:hint="eastAsia" w:ascii="仿宋_GB2312" w:hAnsi="仿宋_GB2312" w:eastAsia="仿宋_GB2312" w:cs="仿宋_GB2312"/>
          <w:i w:val="0"/>
          <w:caps w:val="0"/>
          <w:color w:val="auto"/>
          <w:spacing w:val="0"/>
          <w:sz w:val="32"/>
          <w:szCs w:val="32"/>
          <w:shd w:val="clear" w:color="auto" w:fill="FFFFFF"/>
          <w:lang w:val="en-US" w:eastAsia="zh-CN"/>
        </w:rPr>
        <w:t>1名</w:t>
      </w:r>
      <w:r>
        <w:rPr>
          <w:rFonts w:hint="eastAsia" w:ascii="仿宋_GB2312" w:hAnsi="仿宋_GB2312" w:eastAsia="仿宋_GB2312" w:cs="仿宋_GB2312"/>
          <w:i w:val="0"/>
          <w:caps w:val="0"/>
          <w:color w:val="auto"/>
          <w:spacing w:val="0"/>
          <w:sz w:val="32"/>
          <w:szCs w:val="32"/>
          <w:shd w:val="clear" w:color="auto" w:fill="FFFFFF"/>
          <w:lang w:eastAsia="zh-CN"/>
        </w:rPr>
        <w:t>班子成员分管政府信息公开工作。全面梳理本单位依法行使的行政权力和依法承担的公共服务职责，编制完成本单位权责清单并报有关部门审批；全面梳理和依法公开本单位及内设机构工作职能、机构设置、机构负责人、联系电话等信息。理顺工作机制，统筹推进政府信息公开</w:t>
      </w:r>
      <w:r>
        <w:rPr>
          <w:rFonts w:hint="eastAsia" w:ascii="仿宋_GB2312" w:hAnsi="仿宋_GB2312" w:eastAsia="仿宋_GB2312" w:cs="仿宋_GB2312"/>
          <w:i w:val="0"/>
          <w:caps w:val="0"/>
          <w:color w:val="auto"/>
          <w:spacing w:val="0"/>
          <w:sz w:val="32"/>
          <w:szCs w:val="32"/>
          <w:shd w:val="clear" w:color="auto" w:fill="FFFFFF"/>
          <w:lang w:val="en-US" w:eastAsia="zh-CN"/>
        </w:rPr>
        <w:t>工作</w:t>
      </w:r>
      <w:r>
        <w:rPr>
          <w:rFonts w:hint="eastAsia" w:ascii="仿宋_GB2312" w:hAnsi="仿宋_GB2312" w:eastAsia="仿宋_GB2312" w:cs="仿宋_GB2312"/>
          <w:i w:val="0"/>
          <w:caps w:val="0"/>
          <w:color w:val="auto"/>
          <w:spacing w:val="0"/>
          <w:sz w:val="32"/>
          <w:szCs w:val="32"/>
          <w:shd w:val="clear" w:color="auto" w:fill="FFFFFF"/>
          <w:lang w:eastAsia="zh-CN"/>
        </w:rPr>
        <w:t>，确保政府信息公开工作的顺利开展。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楷体_GB2312" w:hAnsi="楷体_GB2312" w:eastAsia="楷体_GB2312" w:cs="楷体_GB2312"/>
          <w:i w:val="0"/>
          <w:caps w:val="0"/>
          <w:color w:val="auto"/>
          <w:spacing w:val="0"/>
          <w:sz w:val="32"/>
          <w:szCs w:val="32"/>
          <w:highlight w:val="none"/>
          <w:lang w:eastAsia="zh-CN"/>
        </w:rPr>
        <w:t>（二）进一步完善政府信息公开制度规范。</w:t>
      </w:r>
      <w:r>
        <w:rPr>
          <w:rFonts w:hint="eastAsia" w:ascii="仿宋_GB2312" w:hAnsi="仿宋_GB2312" w:eastAsia="仿宋_GB2312" w:cs="仿宋_GB2312"/>
          <w:i w:val="0"/>
          <w:caps w:val="0"/>
          <w:color w:val="auto"/>
          <w:spacing w:val="0"/>
          <w:sz w:val="32"/>
          <w:szCs w:val="32"/>
          <w:shd w:val="clear" w:color="auto" w:fill="FFFFFF"/>
          <w:lang w:eastAsia="zh-CN"/>
        </w:rPr>
        <w:t>按照政府信息公开内容、流程、平台、时限等相关标准，推动政府信息公开工作规范化。对灾害性天气预警、行政审批等信息及时公开；建立信息公开考核制度，对信息公开工作量进行考核公布，遵循 “公开、透明、公平、便民”的原则，提高服务效率和质量。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eastAsia="zh-CN"/>
        </w:rPr>
      </w:pPr>
      <w:r>
        <w:rPr>
          <w:rFonts w:hint="eastAsia" w:ascii="楷体_GB2312" w:hAnsi="楷体_GB2312" w:eastAsia="楷体_GB2312" w:cs="楷体_GB2312"/>
          <w:i w:val="0"/>
          <w:caps w:val="0"/>
          <w:color w:val="auto"/>
          <w:spacing w:val="0"/>
          <w:sz w:val="32"/>
          <w:szCs w:val="32"/>
          <w:highlight w:val="none"/>
          <w:lang w:eastAsia="zh-CN"/>
        </w:rPr>
        <w:t>（三）推行政府信息阳光透明。</w:t>
      </w:r>
      <w:r>
        <w:rPr>
          <w:rFonts w:hint="eastAsia" w:ascii="仿宋_GB2312" w:hAnsi="仿宋_GB2312" w:eastAsia="仿宋_GB2312" w:cs="仿宋_GB2312"/>
          <w:i w:val="0"/>
          <w:caps w:val="0"/>
          <w:color w:val="auto"/>
          <w:spacing w:val="0"/>
          <w:sz w:val="32"/>
          <w:szCs w:val="32"/>
          <w:shd w:val="clear" w:color="auto" w:fill="FFFFFF"/>
          <w:lang w:eastAsia="zh-CN"/>
        </w:rPr>
        <w:t>实行重大决策公开制度，涉及群众切身利益、需要社会广泛知晓的重要改革方案、重大决策措施、重点工程项目，除依法应当保密外，在决策前向社会公布决策草案、决策依据，广泛听取公众意见，并以适当方式公布意见收集和采纳情况。全面推行权力清单、责任清单、负面清单公开工作，建立健全清单动态调整公开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楷体_GB2312" w:hAnsi="楷体_GB2312" w:eastAsia="楷体_GB2312" w:cs="楷体_GB2312"/>
          <w:i w:val="0"/>
          <w:caps w:val="0"/>
          <w:color w:val="auto"/>
          <w:spacing w:val="0"/>
          <w:sz w:val="32"/>
          <w:szCs w:val="32"/>
          <w:highlight w:val="none"/>
          <w:lang w:eastAsia="zh-CN"/>
        </w:rPr>
        <w:t>（四）推进重点领域信息公开。</w:t>
      </w:r>
      <w:r>
        <w:rPr>
          <w:rFonts w:hint="eastAsia" w:ascii="仿宋_GB2312" w:hAnsi="仿宋_GB2312" w:eastAsia="仿宋_GB2312" w:cs="仿宋_GB2312"/>
          <w:i w:val="0"/>
          <w:caps w:val="0"/>
          <w:color w:val="auto"/>
          <w:spacing w:val="0"/>
          <w:sz w:val="32"/>
          <w:szCs w:val="32"/>
          <w:shd w:val="clear" w:color="auto" w:fill="FFFFFF"/>
          <w:lang w:eastAsia="zh-CN"/>
        </w:rPr>
        <w:t>根据省、市气象局</w:t>
      </w:r>
      <w:r>
        <w:rPr>
          <w:rFonts w:hint="eastAsia" w:ascii="仿宋_GB2312" w:hAnsi="仿宋_GB2312" w:eastAsia="仿宋_GB2312" w:cs="仿宋_GB2312"/>
          <w:i w:val="0"/>
          <w:caps w:val="0"/>
          <w:color w:val="auto"/>
          <w:spacing w:val="0"/>
          <w:sz w:val="32"/>
          <w:szCs w:val="32"/>
          <w:shd w:val="clear" w:color="auto" w:fill="FFFFFF"/>
          <w:lang w:val="en-US" w:eastAsia="zh-CN"/>
        </w:rPr>
        <w:t>及</w:t>
      </w:r>
      <w:r>
        <w:rPr>
          <w:rFonts w:hint="eastAsia" w:ascii="仿宋_GB2312" w:hAnsi="仿宋_GB2312" w:eastAsia="仿宋_GB2312" w:cs="仿宋_GB2312"/>
          <w:i w:val="0"/>
          <w:caps w:val="0"/>
          <w:color w:val="auto"/>
          <w:spacing w:val="0"/>
          <w:sz w:val="32"/>
          <w:szCs w:val="32"/>
          <w:shd w:val="clear" w:color="auto" w:fill="FFFFFF"/>
          <w:lang w:eastAsia="zh-CN"/>
        </w:rPr>
        <w:t>县委、</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lang w:eastAsia="zh-CN"/>
        </w:rPr>
        <w:t>政府的要求，进一步完善主动公开工作机制，规范主动公开方式，确保法定主动公开内容全部公开到位，通过“双随机一公开”平台公开行政执法信息</w:t>
      </w:r>
      <w:r>
        <w:rPr>
          <w:rFonts w:hint="eastAsia" w:ascii="仿宋_GB2312" w:hAnsi="仿宋_GB2312" w:eastAsia="仿宋_GB2312" w:cs="仿宋_GB2312"/>
          <w:i w:val="0"/>
          <w:caps w:val="0"/>
          <w:color w:val="auto"/>
          <w:spacing w:val="0"/>
          <w:sz w:val="32"/>
          <w:szCs w:val="32"/>
          <w:shd w:val="clear" w:color="auto" w:fill="FFFFFF"/>
          <w:lang w:val="en-US" w:eastAsia="zh-CN"/>
        </w:rPr>
        <w:t>42</w:t>
      </w:r>
      <w:r>
        <w:rPr>
          <w:rFonts w:hint="eastAsia" w:ascii="仿宋_GB2312" w:hAnsi="仿宋_GB2312" w:eastAsia="仿宋_GB2312" w:cs="仿宋_GB2312"/>
          <w:i w:val="0"/>
          <w:caps w:val="0"/>
          <w:color w:val="auto"/>
          <w:spacing w:val="0"/>
          <w:sz w:val="32"/>
          <w:szCs w:val="32"/>
          <w:shd w:val="clear" w:color="auto" w:fill="FFFFFF"/>
          <w:lang w:eastAsia="zh-CN"/>
        </w:rPr>
        <w:t>条。</w:t>
      </w:r>
      <w:r>
        <w:rPr>
          <w:rFonts w:hint="eastAsia" w:ascii="仿宋_GB2312" w:hAnsi="仿宋_GB2312" w:eastAsia="仿宋_GB2312" w:cs="仿宋_GB2312"/>
          <w:i w:val="0"/>
          <w:caps w:val="0"/>
          <w:color w:val="auto"/>
          <w:spacing w:val="0"/>
          <w:sz w:val="32"/>
          <w:szCs w:val="32"/>
          <w:shd w:val="clear" w:color="auto" w:fill="FFFFFF"/>
          <w:lang w:val="en-US" w:eastAsia="zh-CN"/>
        </w:rPr>
        <w:t>为贯彻落实省政府关于推进“2+2”改革部署，扎实推进省级“2+2”改革，优化提升实体政务大厅“大一窗”服务功能，委托方授权委托贵州省政务服务中心对3项行政许可、1项行政确认、1项其他行政权力和1项公共服务事项提供“大一窗”服务，</w:t>
      </w:r>
      <w:r>
        <w:rPr>
          <w:rFonts w:hint="eastAsia" w:ascii="仿宋_GB2312" w:hAnsi="仿宋_GB2312" w:eastAsia="仿宋_GB2312" w:cs="仿宋_GB2312"/>
          <w:i w:val="0"/>
          <w:caps w:val="0"/>
          <w:color w:val="auto"/>
          <w:spacing w:val="0"/>
          <w:sz w:val="32"/>
          <w:szCs w:val="32"/>
          <w:shd w:val="clear" w:color="auto" w:fill="FFFFFF"/>
          <w:lang w:eastAsia="zh-CN"/>
        </w:rPr>
        <w:t>实现了群众和企业到政府办事事项100%全覆盖，</w:t>
      </w:r>
      <w:r>
        <w:rPr>
          <w:rFonts w:hint="eastAsia" w:ascii="仿宋_GB2312" w:hAnsi="仿宋_GB2312" w:eastAsia="仿宋_GB2312" w:cs="仿宋_GB2312"/>
          <w:i w:val="0"/>
          <w:caps w:val="0"/>
          <w:color w:val="auto"/>
          <w:spacing w:val="0"/>
          <w:sz w:val="32"/>
          <w:szCs w:val="32"/>
          <w:shd w:val="clear" w:color="auto" w:fill="FFFFFF"/>
          <w:lang w:val="en-US" w:eastAsia="zh-CN"/>
        </w:rPr>
        <w:t>同时</w:t>
      </w:r>
      <w:r>
        <w:rPr>
          <w:rFonts w:hint="eastAsia" w:ascii="仿宋_GB2312" w:hAnsi="仿宋_GB2312" w:eastAsia="仿宋_GB2312" w:cs="仿宋_GB2312"/>
          <w:i w:val="0"/>
          <w:caps w:val="0"/>
          <w:color w:val="auto"/>
          <w:spacing w:val="0"/>
          <w:sz w:val="32"/>
          <w:szCs w:val="32"/>
          <w:shd w:val="clear" w:color="auto" w:fill="FFFFFF"/>
          <w:lang w:eastAsia="zh-CN"/>
        </w:rPr>
        <w:t>实现</w:t>
      </w:r>
      <w:r>
        <w:rPr>
          <w:rFonts w:hint="eastAsia" w:ascii="仿宋_GB2312" w:hAnsi="仿宋_GB2312" w:eastAsia="仿宋_GB2312" w:cs="仿宋_GB2312"/>
          <w:i w:val="0"/>
          <w:caps w:val="0"/>
          <w:color w:val="auto"/>
          <w:spacing w:val="0"/>
          <w:sz w:val="32"/>
          <w:szCs w:val="32"/>
          <w:shd w:val="clear" w:color="auto" w:fill="FFFFFF"/>
          <w:lang w:val="en-US" w:eastAsia="zh-CN"/>
        </w:rPr>
        <w:t>了</w:t>
      </w:r>
      <w:r>
        <w:rPr>
          <w:rFonts w:hint="eastAsia" w:ascii="仿宋_GB2312" w:hAnsi="仿宋_GB2312" w:eastAsia="仿宋_GB2312" w:cs="仿宋_GB2312"/>
          <w:i w:val="0"/>
          <w:caps w:val="0"/>
          <w:color w:val="auto"/>
          <w:spacing w:val="0"/>
          <w:sz w:val="32"/>
          <w:szCs w:val="32"/>
          <w:shd w:val="clear" w:color="auto" w:fill="FFFFFF"/>
          <w:lang w:eastAsia="zh-CN"/>
        </w:rPr>
        <w:t>100%“最多跑一次”事项通过政务服务网上办理。</w:t>
      </w:r>
      <w:r>
        <w:rPr>
          <w:rFonts w:hint="eastAsia" w:ascii="仿宋_GB2312" w:hAnsi="仿宋_GB2312" w:eastAsia="仿宋_GB2312" w:cs="仿宋_GB2312"/>
          <w:i w:val="0"/>
          <w:caps w:val="0"/>
          <w:color w:val="auto"/>
          <w:spacing w:val="0"/>
          <w:sz w:val="32"/>
          <w:szCs w:val="32"/>
          <w:shd w:val="clear" w:color="auto" w:fill="FFFFFF"/>
          <w:lang w:val="en-US" w:eastAsia="zh-CN"/>
        </w:rPr>
        <w:t>本单位</w:t>
      </w:r>
      <w:r>
        <w:rPr>
          <w:rFonts w:hint="eastAsia" w:ascii="仿宋_GB2312" w:hAnsi="仿宋_GB2312" w:eastAsia="仿宋_GB2312" w:cs="仿宋_GB2312"/>
          <w:i w:val="0"/>
          <w:caps w:val="0"/>
          <w:color w:val="auto"/>
          <w:spacing w:val="0"/>
          <w:sz w:val="32"/>
          <w:szCs w:val="32"/>
          <w:shd w:val="clear" w:color="auto" w:fill="FFFFFF"/>
          <w:lang w:eastAsia="zh-CN"/>
        </w:rPr>
        <w:t>按要求编制并公开政府信息公开目录和政府信息公开办事指南，对行政许可事项（防雷装置设计审核及竣工验收以及升放无人驾驶自由气球或者系留气球活动审批等公开事项），主动、及时地对门户网站的公开目录进行更新和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202</w:t>
      </w:r>
      <w:r>
        <w:rPr>
          <w:rFonts w:hint="eastAsia" w:ascii="仿宋_GB2312" w:hAnsi="仿宋_GB2312" w:eastAsia="仿宋_GB2312" w:cs="仿宋_GB2312"/>
          <w:i w:val="0"/>
          <w:caps w:val="0"/>
          <w:color w:val="auto"/>
          <w:spacing w:val="0"/>
          <w:sz w:val="32"/>
          <w:szCs w:val="32"/>
          <w:shd w:val="clear" w:color="auto" w:fill="FFFFFF"/>
          <w:lang w:val="en-US" w:eastAsia="zh-CN"/>
        </w:rPr>
        <w:t>4</w:t>
      </w:r>
      <w:r>
        <w:rPr>
          <w:rFonts w:hint="eastAsia" w:ascii="仿宋_GB2312" w:hAnsi="仿宋_GB2312" w:eastAsia="仿宋_GB2312" w:cs="仿宋_GB2312"/>
          <w:i w:val="0"/>
          <w:caps w:val="0"/>
          <w:color w:val="auto"/>
          <w:spacing w:val="0"/>
          <w:sz w:val="32"/>
          <w:szCs w:val="32"/>
          <w:shd w:val="clear" w:color="auto" w:fill="FFFFFF"/>
          <w:lang w:eastAsia="zh-CN"/>
        </w:rPr>
        <w:t>年度，</w:t>
      </w:r>
      <w:r>
        <w:rPr>
          <w:rFonts w:hint="eastAsia" w:ascii="仿宋_GB2312" w:hAnsi="仿宋_GB2312" w:eastAsia="仿宋_GB2312" w:cs="仿宋_GB2312"/>
          <w:i w:val="0"/>
          <w:caps w:val="0"/>
          <w:color w:val="auto"/>
          <w:spacing w:val="0"/>
          <w:sz w:val="32"/>
          <w:szCs w:val="32"/>
          <w:shd w:val="clear" w:color="auto" w:fill="FFFFFF"/>
          <w:lang w:val="en-US" w:eastAsia="zh-CN"/>
        </w:rPr>
        <w:t>本单位</w:t>
      </w:r>
      <w:r>
        <w:rPr>
          <w:rFonts w:hint="eastAsia" w:ascii="仿宋_GB2312" w:hAnsi="仿宋_GB2312" w:eastAsia="仿宋_GB2312" w:cs="仿宋_GB2312"/>
          <w:i w:val="0"/>
          <w:caps w:val="0"/>
          <w:color w:val="auto"/>
          <w:spacing w:val="0"/>
          <w:sz w:val="32"/>
          <w:szCs w:val="32"/>
          <w:shd w:val="clear" w:color="auto" w:fill="FFFFFF"/>
          <w:lang w:eastAsia="zh-CN"/>
        </w:rPr>
        <w:t>公开气象行政许可</w:t>
      </w:r>
      <w:r>
        <w:rPr>
          <w:rFonts w:hint="eastAsia" w:ascii="仿宋_GB2312" w:hAnsi="仿宋_GB2312" w:eastAsia="仿宋_GB2312" w:cs="仿宋_GB2312"/>
          <w:i w:val="0"/>
          <w:caps w:val="0"/>
          <w:color w:val="auto"/>
          <w:spacing w:val="0"/>
          <w:sz w:val="32"/>
          <w:szCs w:val="32"/>
          <w:shd w:val="clear" w:color="auto" w:fill="FFFFFF"/>
          <w:lang w:val="en-US" w:eastAsia="zh-CN"/>
        </w:rPr>
        <w:t>27</w:t>
      </w:r>
      <w:r>
        <w:rPr>
          <w:rFonts w:hint="eastAsia" w:ascii="仿宋_GB2312" w:hAnsi="仿宋_GB2312" w:eastAsia="仿宋_GB2312" w:cs="仿宋_GB2312"/>
          <w:i w:val="0"/>
          <w:caps w:val="0"/>
          <w:color w:val="auto"/>
          <w:spacing w:val="0"/>
          <w:sz w:val="32"/>
          <w:szCs w:val="32"/>
          <w:shd w:val="clear" w:color="auto" w:fill="FFFFFF"/>
          <w:lang w:eastAsia="zh-CN"/>
        </w:rPr>
        <w:t>件，公开气象行政执法检查（双随机一公开）</w:t>
      </w:r>
      <w:r>
        <w:rPr>
          <w:rFonts w:hint="eastAsia" w:ascii="仿宋_GB2312" w:hAnsi="仿宋_GB2312" w:eastAsia="仿宋_GB2312" w:cs="仿宋_GB2312"/>
          <w:i w:val="0"/>
          <w:caps w:val="0"/>
          <w:color w:val="auto"/>
          <w:spacing w:val="0"/>
          <w:sz w:val="32"/>
          <w:szCs w:val="32"/>
          <w:shd w:val="clear" w:color="auto" w:fill="FFFFFF"/>
          <w:lang w:val="en-US" w:eastAsia="zh-CN"/>
        </w:rPr>
        <w:t>42</w:t>
      </w:r>
      <w:r>
        <w:rPr>
          <w:rFonts w:hint="eastAsia" w:ascii="仿宋_GB2312" w:hAnsi="仿宋_GB2312" w:eastAsia="仿宋_GB2312" w:cs="仿宋_GB2312"/>
          <w:i w:val="0"/>
          <w:caps w:val="0"/>
          <w:color w:val="auto"/>
          <w:spacing w:val="0"/>
          <w:sz w:val="32"/>
          <w:szCs w:val="32"/>
          <w:shd w:val="clear" w:color="auto" w:fill="FFFFFF"/>
          <w:lang w:eastAsia="zh-CN"/>
        </w:rPr>
        <w:t>次。</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黑体" w:hAnsi="黑体" w:eastAsia="黑体" w:cs="黑体"/>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主动公开政府信息情况</w:t>
      </w:r>
    </w:p>
    <w:tbl>
      <w:tblPr>
        <w:tblStyle w:val="3"/>
        <w:tblW w:w="8800" w:type="dxa"/>
        <w:jc w:val="center"/>
        <w:tblLayout w:type="autofit"/>
        <w:tblCellMar>
          <w:top w:w="0" w:type="dxa"/>
          <w:left w:w="0" w:type="dxa"/>
          <w:bottom w:w="0" w:type="dxa"/>
          <w:right w:w="0" w:type="dxa"/>
        </w:tblCellMar>
      </w:tblPr>
      <w:tblGrid>
        <w:gridCol w:w="2200"/>
        <w:gridCol w:w="2200"/>
        <w:gridCol w:w="2200"/>
        <w:gridCol w:w="2200"/>
      </w:tblGrid>
      <w:tr>
        <w:tblPrEx>
          <w:tblCellMar>
            <w:top w:w="0" w:type="dxa"/>
            <w:left w:w="0" w:type="dxa"/>
            <w:bottom w:w="0" w:type="dxa"/>
            <w:right w:w="0" w:type="dxa"/>
          </w:tblCellMar>
        </w:tblPrEx>
        <w:trPr>
          <w:trHeight w:val="531" w:hRule="atLeast"/>
          <w:jc w:val="center"/>
        </w:trPr>
        <w:tc>
          <w:tcPr>
            <w:tcW w:w="880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cs="宋体"/>
                <w:color w:val="000000"/>
                <w:kern w:val="0"/>
                <w:sz w:val="24"/>
                <w:szCs w:val="24"/>
              </w:rPr>
            </w:pPr>
            <w:r>
              <w:rPr>
                <w:rFonts w:hint="eastAsia" w:ascii="方正黑体_GBK" w:hAnsi="方正黑体_GBK" w:eastAsia="方正黑体_GBK" w:cs="方正黑体_GBK"/>
                <w:color w:val="000000"/>
                <w:kern w:val="0"/>
                <w:sz w:val="24"/>
                <w:szCs w:val="24"/>
              </w:rPr>
              <w:t>第二十条第（一）项</w:t>
            </w:r>
          </w:p>
        </w:tc>
      </w:tr>
      <w:tr>
        <w:tblPrEx>
          <w:tblCellMar>
            <w:top w:w="0" w:type="dxa"/>
            <w:left w:w="0" w:type="dxa"/>
            <w:bottom w:w="0" w:type="dxa"/>
            <w:right w:w="0" w:type="dxa"/>
          </w:tblCellMar>
        </w:tblPrEx>
        <w:trPr>
          <w:trHeight w:val="531" w:hRule="atLeast"/>
          <w:jc w:val="center"/>
        </w:trPr>
        <w:tc>
          <w:tcPr>
            <w:tcW w:w="2200"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信息内容</w:t>
            </w:r>
          </w:p>
        </w:tc>
        <w:tc>
          <w:tcPr>
            <w:tcW w:w="2200"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本年</w:t>
            </w:r>
            <w:r>
              <w:rPr>
                <w:rFonts w:ascii="宋体" w:hAnsi="宋体" w:cs="宋体"/>
                <w:b/>
                <w:bCs/>
                <w:color w:val="000000"/>
                <w:kern w:val="0"/>
                <w:sz w:val="20"/>
                <w:szCs w:val="20"/>
              </w:rPr>
              <w:t>制</w:t>
            </w:r>
            <w:r>
              <w:rPr>
                <w:rFonts w:hint="eastAsia" w:ascii="宋体" w:hAnsi="宋体" w:cs="宋体"/>
                <w:b/>
                <w:bCs/>
                <w:color w:val="000000"/>
                <w:kern w:val="0"/>
                <w:sz w:val="20"/>
                <w:szCs w:val="20"/>
              </w:rPr>
              <w:t>发件</w:t>
            </w:r>
            <w:r>
              <w:rPr>
                <w:rFonts w:ascii="宋体" w:hAnsi="宋体" w:cs="宋体"/>
                <w:b/>
                <w:bCs/>
                <w:color w:val="000000"/>
                <w:kern w:val="0"/>
                <w:sz w:val="20"/>
                <w:szCs w:val="20"/>
              </w:rPr>
              <w:t>数</w:t>
            </w:r>
          </w:p>
        </w:tc>
        <w:tc>
          <w:tcPr>
            <w:tcW w:w="2200"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本年废止件数</w:t>
            </w:r>
          </w:p>
        </w:tc>
        <w:tc>
          <w:tcPr>
            <w:tcW w:w="2200"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现行有效件</w:t>
            </w:r>
            <w:r>
              <w:rPr>
                <w:rFonts w:ascii="宋体" w:hAnsi="宋体" w:cs="宋体"/>
                <w:b/>
                <w:bCs/>
                <w:color w:val="000000"/>
                <w:kern w:val="0"/>
                <w:sz w:val="20"/>
                <w:szCs w:val="20"/>
              </w:rPr>
              <w:t>数</w:t>
            </w:r>
          </w:p>
        </w:tc>
      </w:tr>
      <w:tr>
        <w:tblPrEx>
          <w:tblCellMar>
            <w:top w:w="0" w:type="dxa"/>
            <w:left w:w="0" w:type="dxa"/>
            <w:bottom w:w="0" w:type="dxa"/>
            <w:right w:w="0" w:type="dxa"/>
          </w:tblCellMar>
        </w:tblPrEx>
        <w:trPr>
          <w:trHeight w:val="895" w:hRule="atLeast"/>
          <w:jc w:val="center"/>
        </w:trPr>
        <w:tc>
          <w:tcPr>
            <w:tcW w:w="2200"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规章</w:t>
            </w:r>
          </w:p>
        </w:tc>
        <w:tc>
          <w:tcPr>
            <w:tcW w:w="220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4"/>
                <w:szCs w:val="24"/>
                <w:lang w:eastAsia="zh-CN"/>
              </w:rPr>
            </w:pPr>
            <w:r>
              <w:rPr>
                <w:rFonts w:hint="eastAsia" w:ascii="楷体_GB2312" w:hAnsi="楷体_GB2312" w:eastAsia="楷体_GB2312" w:cs="楷体_GB2312"/>
                <w:color w:val="000000"/>
                <w:kern w:val="0"/>
                <w:sz w:val="20"/>
                <w:szCs w:val="20"/>
                <w:lang w:val="en-US" w:eastAsia="zh-CN"/>
              </w:rPr>
              <w:t>0</w:t>
            </w:r>
          </w:p>
        </w:tc>
        <w:tc>
          <w:tcPr>
            <w:tcW w:w="220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4"/>
                <w:szCs w:val="24"/>
                <w:lang w:eastAsia="zh-CN"/>
              </w:rPr>
            </w:pPr>
            <w:r>
              <w:rPr>
                <w:rFonts w:hint="eastAsia" w:ascii="楷体_GB2312" w:hAnsi="楷体_GB2312" w:eastAsia="楷体_GB2312" w:cs="楷体_GB2312"/>
                <w:color w:val="000000"/>
                <w:kern w:val="0"/>
                <w:sz w:val="20"/>
                <w:szCs w:val="20"/>
                <w:lang w:val="en-US" w:eastAsia="zh-CN"/>
              </w:rPr>
              <w:t>0</w:t>
            </w:r>
          </w:p>
        </w:tc>
        <w:tc>
          <w:tcPr>
            <w:tcW w:w="220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4"/>
                <w:szCs w:val="24"/>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trHeight w:val="595" w:hRule="atLeast"/>
          <w:jc w:val="center"/>
        </w:trPr>
        <w:tc>
          <w:tcPr>
            <w:tcW w:w="2200"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行政规范性文件</w:t>
            </w:r>
          </w:p>
        </w:tc>
        <w:tc>
          <w:tcPr>
            <w:tcW w:w="220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0"/>
                <w:szCs w:val="20"/>
                <w:lang w:val="en-US" w:eastAsia="zh-CN"/>
              </w:rPr>
              <w:t>0</w:t>
            </w:r>
          </w:p>
        </w:tc>
        <w:tc>
          <w:tcPr>
            <w:tcW w:w="220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4"/>
                <w:szCs w:val="24"/>
                <w:lang w:eastAsia="zh-CN"/>
              </w:rPr>
            </w:pPr>
            <w:r>
              <w:rPr>
                <w:rFonts w:hint="eastAsia" w:ascii="楷体_GB2312" w:hAnsi="楷体_GB2312" w:eastAsia="楷体_GB2312" w:cs="楷体_GB2312"/>
                <w:color w:val="000000"/>
                <w:kern w:val="0"/>
                <w:sz w:val="20"/>
                <w:szCs w:val="20"/>
                <w:lang w:val="en-US" w:eastAsia="zh-CN"/>
              </w:rPr>
              <w:t>0</w:t>
            </w:r>
          </w:p>
        </w:tc>
        <w:tc>
          <w:tcPr>
            <w:tcW w:w="220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4"/>
                <w:szCs w:val="24"/>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trHeight w:val="531" w:hRule="atLeast"/>
          <w:jc w:val="center"/>
        </w:trPr>
        <w:tc>
          <w:tcPr>
            <w:tcW w:w="880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cs="宋体"/>
                <w:color w:val="000000"/>
                <w:kern w:val="0"/>
                <w:sz w:val="24"/>
                <w:szCs w:val="24"/>
              </w:rPr>
            </w:pPr>
            <w:r>
              <w:rPr>
                <w:rFonts w:hint="eastAsia" w:ascii="方正黑体_GBK" w:hAnsi="方正黑体_GBK" w:eastAsia="方正黑体_GBK" w:cs="方正黑体_GBK"/>
                <w:color w:val="000000"/>
                <w:kern w:val="0"/>
                <w:sz w:val="24"/>
                <w:szCs w:val="24"/>
              </w:rPr>
              <w:t>第二十条第（五）项</w:t>
            </w:r>
          </w:p>
        </w:tc>
      </w:tr>
      <w:tr>
        <w:tblPrEx>
          <w:tblCellMar>
            <w:top w:w="0" w:type="dxa"/>
            <w:left w:w="0" w:type="dxa"/>
            <w:bottom w:w="0" w:type="dxa"/>
            <w:right w:w="0" w:type="dxa"/>
          </w:tblCellMar>
        </w:tblPrEx>
        <w:trPr>
          <w:trHeight w:val="531" w:hRule="atLeast"/>
          <w:jc w:val="center"/>
        </w:trPr>
        <w:tc>
          <w:tcPr>
            <w:tcW w:w="2200"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信息内容</w:t>
            </w:r>
          </w:p>
        </w:tc>
        <w:tc>
          <w:tcPr>
            <w:tcW w:w="6600"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本年处理决定数量</w:t>
            </w:r>
          </w:p>
        </w:tc>
      </w:tr>
      <w:tr>
        <w:tblPrEx>
          <w:tblCellMar>
            <w:top w:w="0" w:type="dxa"/>
            <w:left w:w="0" w:type="dxa"/>
            <w:bottom w:w="0" w:type="dxa"/>
            <w:right w:w="0" w:type="dxa"/>
          </w:tblCellMar>
        </w:tblPrEx>
        <w:trPr>
          <w:trHeight w:val="618" w:hRule="atLeast"/>
          <w:jc w:val="center"/>
        </w:trPr>
        <w:tc>
          <w:tcPr>
            <w:tcW w:w="2200"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szCs w:val="24"/>
              </w:rPr>
            </w:pPr>
            <w:r>
              <w:rPr>
                <w:rFonts w:hint="eastAsia" w:ascii="宋体" w:hAnsi="宋体" w:cs="宋体"/>
                <w:b/>
                <w:bCs/>
                <w:color w:val="000000"/>
                <w:kern w:val="0"/>
                <w:sz w:val="20"/>
                <w:szCs w:val="20"/>
              </w:rPr>
              <w:t>行政许可</w:t>
            </w:r>
          </w:p>
        </w:tc>
        <w:tc>
          <w:tcPr>
            <w:tcW w:w="6600"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4"/>
                <w:szCs w:val="24"/>
                <w:lang w:val="en-US" w:eastAsia="zh-CN"/>
              </w:rPr>
            </w:pPr>
            <w:r>
              <w:rPr>
                <w:rFonts w:hint="eastAsia" w:ascii="楷体_GB2312" w:hAnsi="楷体_GB2312" w:eastAsia="楷体_GB2312" w:cs="楷体_GB2312"/>
                <w:color w:val="000000"/>
                <w:kern w:val="0"/>
                <w:sz w:val="20"/>
                <w:szCs w:val="20"/>
                <w:lang w:val="en-US" w:eastAsia="zh-CN"/>
              </w:rPr>
              <w:t>27</w:t>
            </w:r>
          </w:p>
        </w:tc>
      </w:tr>
      <w:tr>
        <w:tblPrEx>
          <w:tblCellMar>
            <w:top w:w="0" w:type="dxa"/>
            <w:left w:w="0" w:type="dxa"/>
            <w:bottom w:w="0" w:type="dxa"/>
            <w:right w:w="0" w:type="dxa"/>
          </w:tblCellMar>
        </w:tblPrEx>
        <w:trPr>
          <w:trHeight w:val="531" w:hRule="atLeast"/>
          <w:jc w:val="center"/>
        </w:trPr>
        <w:tc>
          <w:tcPr>
            <w:tcW w:w="880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cs="宋体"/>
                <w:color w:val="000000"/>
                <w:kern w:val="0"/>
                <w:sz w:val="24"/>
                <w:szCs w:val="24"/>
              </w:rPr>
            </w:pPr>
            <w:r>
              <w:rPr>
                <w:rFonts w:hint="eastAsia" w:ascii="方正黑体_GBK" w:hAnsi="方正黑体_GBK" w:eastAsia="方正黑体_GBK" w:cs="方正黑体_GBK"/>
                <w:color w:val="000000"/>
                <w:kern w:val="0"/>
                <w:sz w:val="24"/>
                <w:szCs w:val="24"/>
              </w:rPr>
              <w:t>第二十条第（六）项</w:t>
            </w:r>
          </w:p>
        </w:tc>
      </w:tr>
      <w:tr>
        <w:tblPrEx>
          <w:tblCellMar>
            <w:top w:w="0" w:type="dxa"/>
            <w:left w:w="0" w:type="dxa"/>
            <w:bottom w:w="0" w:type="dxa"/>
            <w:right w:w="0" w:type="dxa"/>
          </w:tblCellMar>
        </w:tblPrEx>
        <w:trPr>
          <w:trHeight w:val="531" w:hRule="atLeast"/>
          <w:jc w:val="center"/>
        </w:trPr>
        <w:tc>
          <w:tcPr>
            <w:tcW w:w="2200"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信息内容</w:t>
            </w:r>
          </w:p>
        </w:tc>
        <w:tc>
          <w:tcPr>
            <w:tcW w:w="6600"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本年处理决定数量</w:t>
            </w:r>
          </w:p>
        </w:tc>
      </w:tr>
      <w:tr>
        <w:tblPrEx>
          <w:tblCellMar>
            <w:top w:w="0" w:type="dxa"/>
            <w:left w:w="0" w:type="dxa"/>
            <w:bottom w:w="0" w:type="dxa"/>
            <w:right w:w="0" w:type="dxa"/>
          </w:tblCellMar>
        </w:tblPrEx>
        <w:trPr>
          <w:trHeight w:val="531" w:hRule="atLeast"/>
          <w:jc w:val="center"/>
        </w:trPr>
        <w:tc>
          <w:tcPr>
            <w:tcW w:w="2200"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行政处罚</w:t>
            </w:r>
          </w:p>
        </w:tc>
        <w:tc>
          <w:tcPr>
            <w:tcW w:w="6600"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trHeight w:val="531" w:hRule="atLeast"/>
          <w:jc w:val="center"/>
        </w:trPr>
        <w:tc>
          <w:tcPr>
            <w:tcW w:w="2200"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行政强制</w:t>
            </w:r>
          </w:p>
        </w:tc>
        <w:tc>
          <w:tcPr>
            <w:tcW w:w="6600"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trHeight w:val="531" w:hRule="atLeast"/>
          <w:jc w:val="center"/>
        </w:trPr>
        <w:tc>
          <w:tcPr>
            <w:tcW w:w="880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cs="宋体"/>
                <w:color w:val="000000"/>
                <w:kern w:val="0"/>
                <w:sz w:val="24"/>
                <w:szCs w:val="24"/>
              </w:rPr>
            </w:pPr>
            <w:r>
              <w:rPr>
                <w:rFonts w:hint="eastAsia" w:ascii="方正黑体_GBK" w:hAnsi="方正黑体_GBK" w:eastAsia="方正黑体_GBK" w:cs="方正黑体_GBK"/>
                <w:color w:val="000000"/>
                <w:kern w:val="0"/>
                <w:sz w:val="24"/>
                <w:szCs w:val="24"/>
              </w:rPr>
              <w:t>第二十条第（八）项</w:t>
            </w:r>
          </w:p>
        </w:tc>
      </w:tr>
      <w:tr>
        <w:tblPrEx>
          <w:tblCellMar>
            <w:top w:w="0" w:type="dxa"/>
            <w:left w:w="0" w:type="dxa"/>
            <w:bottom w:w="0" w:type="dxa"/>
            <w:right w:w="0" w:type="dxa"/>
          </w:tblCellMar>
        </w:tblPrEx>
        <w:trPr>
          <w:trHeight w:val="531" w:hRule="atLeast"/>
          <w:jc w:val="center"/>
        </w:trPr>
        <w:tc>
          <w:tcPr>
            <w:tcW w:w="2200"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信息内容</w:t>
            </w:r>
          </w:p>
        </w:tc>
        <w:tc>
          <w:tcPr>
            <w:tcW w:w="6600"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本年收费金额（单位：万元）</w:t>
            </w:r>
          </w:p>
        </w:tc>
      </w:tr>
      <w:tr>
        <w:tblPrEx>
          <w:tblCellMar>
            <w:top w:w="0" w:type="dxa"/>
            <w:left w:w="0" w:type="dxa"/>
            <w:bottom w:w="0" w:type="dxa"/>
            <w:right w:w="0" w:type="dxa"/>
          </w:tblCellMar>
        </w:tblPrEx>
        <w:trPr>
          <w:trHeight w:val="587" w:hRule="atLeast"/>
          <w:jc w:val="center"/>
        </w:trPr>
        <w:tc>
          <w:tcPr>
            <w:tcW w:w="2200"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szCs w:val="24"/>
              </w:rPr>
            </w:pPr>
            <w:r>
              <w:rPr>
                <w:rFonts w:hint="eastAsia" w:ascii="宋体" w:hAnsi="宋体" w:cs="宋体"/>
                <w:b/>
                <w:bCs/>
                <w:color w:val="000000"/>
                <w:kern w:val="0"/>
                <w:sz w:val="20"/>
                <w:szCs w:val="20"/>
              </w:rPr>
              <w:t>行政事业性收费</w:t>
            </w:r>
          </w:p>
        </w:tc>
        <w:tc>
          <w:tcPr>
            <w:tcW w:w="6600"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eastAsia="zh-CN"/>
              </w:rPr>
            </w:pPr>
            <w:r>
              <w:rPr>
                <w:rFonts w:hint="eastAsia" w:ascii="楷体_GB2312" w:hAnsi="楷体_GB2312" w:eastAsia="楷体_GB2312" w:cs="楷体_GB2312"/>
                <w:color w:val="000000"/>
                <w:kern w:val="0"/>
                <w:sz w:val="20"/>
                <w:szCs w:val="20"/>
                <w:lang w:val="en-US" w:eastAsia="zh-CN"/>
              </w:rPr>
              <w:t>0</w:t>
            </w:r>
          </w:p>
        </w:tc>
      </w:tr>
    </w:tbl>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rPr>
          <w:rFonts w:hint="eastAsia" w:ascii="黑体" w:hAnsi="黑体" w:eastAsia="黑体" w:cs="黑体"/>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收到和处理政府信息公开申请情况</w:t>
      </w:r>
    </w:p>
    <w:tbl>
      <w:tblPr>
        <w:tblStyle w:val="3"/>
        <w:tblW w:w="0" w:type="auto"/>
        <w:jc w:val="center"/>
        <w:tblLayout w:type="autofit"/>
        <w:tblCellMar>
          <w:top w:w="0" w:type="dxa"/>
          <w:left w:w="0" w:type="dxa"/>
          <w:bottom w:w="0" w:type="dxa"/>
          <w:right w:w="0" w:type="dxa"/>
        </w:tblCellMar>
      </w:tblPr>
      <w:tblGrid>
        <w:gridCol w:w="1182"/>
        <w:gridCol w:w="1098"/>
        <w:gridCol w:w="2305"/>
        <w:gridCol w:w="466"/>
        <w:gridCol w:w="693"/>
        <w:gridCol w:w="644"/>
        <w:gridCol w:w="756"/>
        <w:gridCol w:w="834"/>
        <w:gridCol w:w="516"/>
        <w:gridCol w:w="516"/>
      </w:tblGrid>
      <w:tr>
        <w:tblPrEx>
          <w:tblCellMar>
            <w:top w:w="0" w:type="dxa"/>
            <w:left w:w="0" w:type="dxa"/>
            <w:bottom w:w="0" w:type="dxa"/>
            <w:right w:w="0" w:type="dxa"/>
          </w:tblCellMar>
        </w:tblPrEx>
        <w:trPr>
          <w:jc w:val="center"/>
        </w:trPr>
        <w:tc>
          <w:tcPr>
            <w:tcW w:w="4050" w:type="dxa"/>
            <w:gridSpan w:val="3"/>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szCs w:val="24"/>
              </w:rPr>
            </w:pPr>
            <w:r>
              <w:rPr>
                <w:rFonts w:hint="eastAsia" w:ascii="楷体" w:hAnsi="楷体" w:eastAsia="楷体" w:cs="宋体"/>
                <w:color w:val="000000"/>
                <w:kern w:val="0"/>
                <w:sz w:val="20"/>
                <w:szCs w:val="20"/>
              </w:rPr>
              <w:t>（本列数据的勾稽关系为：第一项加第二项之和，等于第三项加第四项之和）</w:t>
            </w:r>
          </w:p>
        </w:tc>
        <w:tc>
          <w:tcPr>
            <w:tcW w:w="4421"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申请人情况</w:t>
            </w:r>
          </w:p>
        </w:tc>
      </w:tr>
      <w:tr>
        <w:tblPrEx>
          <w:tblCellMar>
            <w:top w:w="0" w:type="dxa"/>
            <w:left w:w="0" w:type="dxa"/>
            <w:bottom w:w="0" w:type="dxa"/>
            <w:right w:w="0" w:type="dxa"/>
          </w:tblCellMar>
        </w:tblPrEx>
        <w:trPr>
          <w:jc w:val="center"/>
        </w:trPr>
        <w:tc>
          <w:tcPr>
            <w:tcW w:w="4050"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466" w:type="dxa"/>
            <w:vMerge w:val="restart"/>
            <w:tcBorders>
              <w:top w:val="single" w:color="auto" w:sz="0"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自然人</w:t>
            </w:r>
          </w:p>
        </w:tc>
        <w:tc>
          <w:tcPr>
            <w:tcW w:w="3441" w:type="dxa"/>
            <w:gridSpan w:val="5"/>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法人或其他组织</w:t>
            </w:r>
          </w:p>
        </w:tc>
        <w:tc>
          <w:tcPr>
            <w:tcW w:w="0" w:type="auto"/>
            <w:vMerge w:val="restart"/>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总计</w:t>
            </w:r>
          </w:p>
        </w:tc>
      </w:tr>
      <w:tr>
        <w:tblPrEx>
          <w:tblCellMar>
            <w:top w:w="0" w:type="dxa"/>
            <w:left w:w="0" w:type="dxa"/>
            <w:bottom w:w="0" w:type="dxa"/>
            <w:right w:w="0" w:type="dxa"/>
          </w:tblCellMar>
        </w:tblPrEx>
        <w:trPr>
          <w:jc w:val="center"/>
        </w:trPr>
        <w:tc>
          <w:tcPr>
            <w:tcW w:w="4050"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466" w:type="dxa"/>
            <w:vMerge w:val="continue"/>
            <w:tcBorders>
              <w:top w:val="single" w:color="auto" w:sz="0" w:space="0"/>
              <w:left w:val="single" w:color="auto" w:sz="0"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93" w:type="dxa"/>
            <w:tcBorders>
              <w:top w:val="single" w:color="auto" w:sz="0"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spacing w:line="0" w:lineRule="atLeast"/>
              <w:jc w:val="center"/>
              <w:rPr>
                <w:rFonts w:ascii="宋体" w:hAnsi="宋体" w:cs="宋体"/>
                <w:b/>
                <w:bCs/>
                <w:color w:val="000000"/>
                <w:kern w:val="0"/>
                <w:sz w:val="24"/>
                <w:szCs w:val="24"/>
              </w:rPr>
            </w:pPr>
            <w:r>
              <w:rPr>
                <w:rFonts w:hint="eastAsia" w:ascii="宋体" w:hAnsi="宋体" w:cs="宋体"/>
                <w:b/>
                <w:bCs/>
                <w:color w:val="000000"/>
                <w:kern w:val="0"/>
                <w:sz w:val="20"/>
                <w:szCs w:val="20"/>
              </w:rPr>
              <w:t>商业</w:t>
            </w:r>
          </w:p>
          <w:p>
            <w:pPr>
              <w:widowControl/>
              <w:spacing w:line="0" w:lineRule="atLeast"/>
              <w:jc w:val="center"/>
              <w:rPr>
                <w:rFonts w:ascii="宋体" w:hAnsi="宋体" w:cs="宋体"/>
                <w:b/>
                <w:bCs/>
                <w:color w:val="000000"/>
                <w:kern w:val="0"/>
                <w:sz w:val="24"/>
                <w:szCs w:val="24"/>
              </w:rPr>
            </w:pPr>
            <w:r>
              <w:rPr>
                <w:rFonts w:hint="eastAsia" w:ascii="宋体" w:hAnsi="宋体" w:cs="宋体"/>
                <w:b/>
                <w:bCs/>
                <w:color w:val="000000"/>
                <w:kern w:val="0"/>
                <w:sz w:val="20"/>
                <w:szCs w:val="20"/>
              </w:rPr>
              <w:t>企业</w:t>
            </w:r>
          </w:p>
        </w:tc>
        <w:tc>
          <w:tcPr>
            <w:tcW w:w="644" w:type="dxa"/>
            <w:tcBorders>
              <w:top w:val="single" w:color="auto" w:sz="0"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spacing w:line="0" w:lineRule="atLeast"/>
              <w:jc w:val="center"/>
              <w:rPr>
                <w:rFonts w:ascii="宋体" w:hAnsi="宋体" w:cs="宋体"/>
                <w:b/>
                <w:bCs/>
                <w:color w:val="000000"/>
                <w:kern w:val="0"/>
                <w:sz w:val="24"/>
                <w:szCs w:val="24"/>
              </w:rPr>
            </w:pPr>
            <w:r>
              <w:rPr>
                <w:rFonts w:hint="eastAsia" w:ascii="宋体" w:hAnsi="宋体" w:cs="宋体"/>
                <w:b/>
                <w:bCs/>
                <w:color w:val="000000"/>
                <w:kern w:val="0"/>
                <w:sz w:val="20"/>
                <w:szCs w:val="20"/>
              </w:rPr>
              <w:t>科研</w:t>
            </w:r>
          </w:p>
          <w:p>
            <w:pPr>
              <w:widowControl/>
              <w:spacing w:line="0" w:lineRule="atLeast"/>
              <w:jc w:val="center"/>
              <w:rPr>
                <w:rFonts w:ascii="宋体" w:hAnsi="宋体" w:cs="宋体"/>
                <w:b/>
                <w:bCs/>
                <w:color w:val="000000"/>
                <w:kern w:val="0"/>
                <w:sz w:val="24"/>
                <w:szCs w:val="24"/>
              </w:rPr>
            </w:pPr>
            <w:r>
              <w:rPr>
                <w:rFonts w:hint="eastAsia" w:ascii="宋体" w:hAnsi="宋体" w:cs="宋体"/>
                <w:b/>
                <w:bCs/>
                <w:color w:val="000000"/>
                <w:kern w:val="0"/>
                <w:sz w:val="20"/>
                <w:szCs w:val="20"/>
              </w:rPr>
              <w:t>机构</w:t>
            </w:r>
          </w:p>
        </w:tc>
        <w:tc>
          <w:tcPr>
            <w:tcW w:w="756" w:type="dxa"/>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spacing w:line="0" w:lineRule="atLeast"/>
              <w:jc w:val="center"/>
              <w:rPr>
                <w:rFonts w:ascii="宋体" w:hAnsi="宋体" w:cs="宋体"/>
                <w:b/>
                <w:bCs/>
                <w:color w:val="000000"/>
                <w:kern w:val="0"/>
                <w:sz w:val="24"/>
                <w:szCs w:val="24"/>
              </w:rPr>
            </w:pPr>
            <w:r>
              <w:rPr>
                <w:rFonts w:hint="eastAsia" w:ascii="宋体" w:hAnsi="宋体" w:cs="宋体"/>
                <w:b/>
                <w:bCs/>
                <w:color w:val="000000"/>
                <w:kern w:val="0"/>
                <w:sz w:val="20"/>
                <w:szCs w:val="20"/>
              </w:rPr>
              <w:t>社会公益组织</w:t>
            </w:r>
          </w:p>
        </w:tc>
        <w:tc>
          <w:tcPr>
            <w:tcW w:w="834" w:type="dxa"/>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spacing w:line="0" w:lineRule="atLeast"/>
              <w:jc w:val="center"/>
              <w:rPr>
                <w:rFonts w:ascii="宋体" w:hAnsi="宋体" w:cs="宋体"/>
                <w:b/>
                <w:bCs/>
                <w:color w:val="000000"/>
                <w:kern w:val="0"/>
                <w:sz w:val="24"/>
                <w:szCs w:val="24"/>
              </w:rPr>
            </w:pPr>
            <w:r>
              <w:rPr>
                <w:rFonts w:hint="eastAsia" w:ascii="宋体" w:hAnsi="宋体" w:cs="宋体"/>
                <w:b/>
                <w:bCs/>
                <w:color w:val="000000"/>
                <w:kern w:val="0"/>
                <w:sz w:val="20"/>
                <w:szCs w:val="20"/>
              </w:rPr>
              <w:t>法律服务机构</w:t>
            </w:r>
          </w:p>
        </w:tc>
        <w:tc>
          <w:tcPr>
            <w:tcW w:w="0" w:type="auto"/>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其他</w:t>
            </w:r>
          </w:p>
        </w:tc>
        <w:tc>
          <w:tcPr>
            <w:tcW w:w="0" w:type="auto"/>
            <w:vMerge w:val="continue"/>
            <w:tcBorders>
              <w:top w:val="single" w:color="auto" w:sz="8" w:space="0"/>
              <w:left w:val="single" w:color="auto" w:sz="0"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r>
      <w:tr>
        <w:tblPrEx>
          <w:tblCellMar>
            <w:top w:w="0" w:type="dxa"/>
            <w:left w:w="0" w:type="dxa"/>
            <w:bottom w:w="0" w:type="dxa"/>
            <w:right w:w="0" w:type="dxa"/>
          </w:tblCellMar>
        </w:tblPrEx>
        <w:trPr>
          <w:trHeight w:val="587" w:hRule="atLeast"/>
          <w:jc w:val="center"/>
        </w:trPr>
        <w:tc>
          <w:tcPr>
            <w:tcW w:w="40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一、本年新收政府信息公开申请数量</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jc w:val="center"/>
        </w:trPr>
        <w:tc>
          <w:tcPr>
            <w:tcW w:w="40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二、上年结转政府信息公开申请数量</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trHeight w:val="524" w:hRule="atLeast"/>
          <w:jc w:val="center"/>
        </w:trPr>
        <w:tc>
          <w:tcPr>
            <w:tcW w:w="0" w:type="auto"/>
            <w:vMerge w:val="restart"/>
            <w:tcBorders>
              <w:top w:val="single" w:color="auto" w:sz="0" w:space="0"/>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三、本年度办理结果</w:t>
            </w:r>
          </w:p>
        </w:tc>
        <w:tc>
          <w:tcPr>
            <w:tcW w:w="3207"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（一）予以公开</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207"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（二）部分公开</w:t>
            </w:r>
            <w:r>
              <w:rPr>
                <w:rFonts w:hint="eastAsia" w:ascii="楷体" w:hAnsi="楷体" w:eastAsia="楷体" w:cs="宋体"/>
                <w:b/>
                <w:bCs/>
                <w:color w:val="000000"/>
                <w:kern w:val="0"/>
                <w:sz w:val="20"/>
                <w:szCs w:val="20"/>
              </w:rPr>
              <w:t>（区分处理的，只计这一情形，不计其他情形）</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trHeight w:val="649" w:hRule="atLeast"/>
          <w:jc w:val="center"/>
        </w:trPr>
        <w:tc>
          <w:tcPr>
            <w:tcW w:w="0" w:type="auto"/>
            <w:vMerge w:val="continue"/>
            <w:tcBorders>
              <w:top w:val="single" w:color="auto" w:sz="0"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0" w:type="auto"/>
            <w:vMerge w:val="restart"/>
            <w:tcBorders>
              <w:top w:val="single" w:color="auto" w:sz="0"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（三）不予公开</w:t>
            </w:r>
          </w:p>
        </w:tc>
        <w:tc>
          <w:tcPr>
            <w:tcW w:w="230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1.属于国家秘密</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0" w:type="auto"/>
            <w:vMerge w:val="continue"/>
            <w:tcBorders>
              <w:top w:val="single" w:color="auto" w:sz="0" w:space="0"/>
              <w:left w:val="single" w:color="auto" w:sz="0"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230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2.其他法律行政法规禁止公开</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0" w:type="auto"/>
            <w:vMerge w:val="continue"/>
            <w:tcBorders>
              <w:top w:val="single" w:color="auto" w:sz="0" w:space="0"/>
              <w:left w:val="single" w:color="auto" w:sz="0"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230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3.危及“三安全一稳定”</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0" w:type="auto"/>
            <w:vMerge w:val="continue"/>
            <w:tcBorders>
              <w:top w:val="single" w:color="auto" w:sz="0" w:space="0"/>
              <w:left w:val="single" w:color="auto" w:sz="0"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230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4.保护第三方合法权益</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0" w:type="auto"/>
            <w:vMerge w:val="continue"/>
            <w:tcBorders>
              <w:top w:val="single" w:color="auto" w:sz="0" w:space="0"/>
              <w:left w:val="single" w:color="auto" w:sz="0"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230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5.属于三类内部事务信息</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0" w:type="auto"/>
            <w:vMerge w:val="continue"/>
            <w:tcBorders>
              <w:top w:val="single" w:color="auto" w:sz="0" w:space="0"/>
              <w:left w:val="single" w:color="auto" w:sz="0"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230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6.属于四类过程性信息</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0" w:type="auto"/>
            <w:vMerge w:val="continue"/>
            <w:tcBorders>
              <w:top w:val="single" w:color="auto" w:sz="0" w:space="0"/>
              <w:left w:val="single" w:color="auto" w:sz="0"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230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7.属于行政执法案卷</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0" w:type="auto"/>
            <w:vMerge w:val="continue"/>
            <w:tcBorders>
              <w:top w:val="single" w:color="auto" w:sz="0" w:space="0"/>
              <w:left w:val="single" w:color="auto" w:sz="0"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230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8.属于行政查询事项</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0" w:type="auto"/>
            <w:vMerge w:val="restart"/>
            <w:tcBorders>
              <w:top w:val="single" w:color="auto" w:sz="0"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（四）无法提供</w:t>
            </w:r>
          </w:p>
        </w:tc>
        <w:tc>
          <w:tcPr>
            <w:tcW w:w="230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1.本机关不掌握相关政府信息</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0" w:type="auto"/>
            <w:vMerge w:val="continue"/>
            <w:tcBorders>
              <w:top w:val="single" w:color="auto" w:sz="0" w:space="0"/>
              <w:left w:val="single" w:color="auto" w:sz="0"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230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2.没有现成信息需要另行制作</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0" w:type="auto"/>
            <w:vMerge w:val="continue"/>
            <w:tcBorders>
              <w:top w:val="single" w:color="auto" w:sz="0" w:space="0"/>
              <w:left w:val="single" w:color="auto" w:sz="0"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230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3.补正后申请内容仍不明确</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trHeight w:val="550" w:hRule="atLeast"/>
          <w:jc w:val="center"/>
        </w:trPr>
        <w:tc>
          <w:tcPr>
            <w:tcW w:w="0" w:type="auto"/>
            <w:vMerge w:val="continue"/>
            <w:tcBorders>
              <w:top w:val="single" w:color="auto" w:sz="0"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0" w:type="auto"/>
            <w:vMerge w:val="restart"/>
            <w:tcBorders>
              <w:top w:val="single" w:color="auto" w:sz="0"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（五）不予处理</w:t>
            </w:r>
          </w:p>
        </w:tc>
        <w:tc>
          <w:tcPr>
            <w:tcW w:w="230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1.信访举报投诉类申请</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trHeight w:val="562" w:hRule="atLeast"/>
          <w:jc w:val="center"/>
        </w:trPr>
        <w:tc>
          <w:tcPr>
            <w:tcW w:w="0" w:type="auto"/>
            <w:vMerge w:val="continue"/>
            <w:tcBorders>
              <w:top w:val="single" w:color="auto" w:sz="0"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0" w:type="auto"/>
            <w:vMerge w:val="continue"/>
            <w:tcBorders>
              <w:top w:val="single" w:color="auto" w:sz="0" w:space="0"/>
              <w:left w:val="single" w:color="auto" w:sz="0"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230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2.重复申请</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0" w:type="auto"/>
            <w:vMerge w:val="continue"/>
            <w:tcBorders>
              <w:top w:val="single" w:color="auto" w:sz="0" w:space="0"/>
              <w:left w:val="single" w:color="auto" w:sz="0"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230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3.要求提供公开出版物</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4"/>
                <w:szCs w:val="24"/>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0" w:type="auto"/>
            <w:vMerge w:val="continue"/>
            <w:tcBorders>
              <w:top w:val="single" w:color="auto" w:sz="0" w:space="0"/>
              <w:left w:val="single" w:color="auto" w:sz="0"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2305"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4.无正当理由大量反复申请</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4"/>
                <w:szCs w:val="24"/>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single" w:color="auto" w:sz="0"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0" w:type="auto"/>
            <w:vMerge w:val="continue"/>
            <w:tcBorders>
              <w:top w:val="single" w:color="auto" w:sz="0" w:space="0"/>
              <w:left w:val="single" w:color="auto" w:sz="0"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2305" w:type="dxa"/>
            <w:tcBorders>
              <w:top w:val="single" w:color="auto" w:sz="0"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rPr>
                <w:rFonts w:ascii="宋体" w:hAnsi="宋体" w:cs="宋体"/>
                <w:b/>
                <w:bCs/>
                <w:color w:val="000000"/>
                <w:kern w:val="0"/>
                <w:sz w:val="24"/>
                <w:szCs w:val="24"/>
              </w:rPr>
            </w:pPr>
            <w:r>
              <w:rPr>
                <w:rFonts w:hint="eastAsia" w:ascii="宋体" w:hAnsi="宋体" w:cs="宋体"/>
                <w:b/>
                <w:bCs/>
                <w:color w:val="000000"/>
                <w:kern w:val="0"/>
                <w:sz w:val="20"/>
                <w:szCs w:val="20"/>
              </w:rPr>
              <w:t>5.要求行政机关确认或重新出具已获取信息</w:t>
            </w:r>
          </w:p>
        </w:tc>
        <w:tc>
          <w:tcPr>
            <w:tcW w:w="4421" w:type="dxa"/>
            <w:gridSpan w:val="7"/>
            <w:tcBorders>
              <w:top w:val="single" w:color="auto" w:sz="0"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0" w:type="auto"/>
            <w:vMerge w:val="restart"/>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（六）其他处理</w:t>
            </w:r>
          </w:p>
        </w:tc>
        <w:tc>
          <w:tcPr>
            <w:tcW w:w="230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ascii="宋体" w:hAnsi="宋体" w:cs="宋体"/>
                <w:b/>
                <w:bCs/>
                <w:color w:val="000000"/>
                <w:kern w:val="0"/>
                <w:sz w:val="24"/>
                <w:szCs w:val="24"/>
              </w:rPr>
            </w:pPr>
            <w:r>
              <w:rPr>
                <w:rFonts w:hint="eastAsia" w:ascii="宋体" w:hAnsi="宋体" w:cs="宋体"/>
                <w:b/>
                <w:bCs/>
                <w:color w:val="000000"/>
                <w:kern w:val="0"/>
                <w:sz w:val="20"/>
                <w:szCs w:val="20"/>
              </w:rPr>
              <w:t>1.申请人无正当理由逾期不补正、行政机关不再处理其政府信息公开申请</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0" w:type="auto"/>
            <w:vMerge w:val="continue"/>
            <w:tcBorders>
              <w:top w:val="single" w:color="auto" w:sz="8" w:space="0"/>
              <w:left w:val="single" w:color="auto" w:sz="0"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230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ascii="宋体" w:hAnsi="宋体" w:cs="宋体"/>
                <w:b/>
                <w:bCs/>
                <w:color w:val="000000"/>
                <w:kern w:val="0"/>
                <w:sz w:val="24"/>
                <w:szCs w:val="24"/>
              </w:rPr>
            </w:pPr>
            <w:r>
              <w:rPr>
                <w:rFonts w:hint="eastAsia" w:ascii="宋体" w:hAnsi="宋体" w:cs="宋体"/>
                <w:b/>
                <w:bCs/>
                <w:color w:val="000000"/>
                <w:kern w:val="0"/>
                <w:sz w:val="20"/>
                <w:szCs w:val="20"/>
              </w:rPr>
              <w:t>2.申请人逾期未按收费通知要求缴纳费用、行政机关不再处理其政府信息公开申请</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eastAsia="zh-CN"/>
              </w:rPr>
            </w:pP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trHeight w:val="699" w:hRule="atLeast"/>
          <w:jc w:val="center"/>
        </w:trPr>
        <w:tc>
          <w:tcPr>
            <w:tcW w:w="0" w:type="auto"/>
            <w:vMerge w:val="continue"/>
            <w:tcBorders>
              <w:top w:val="single" w:color="auto" w:sz="0"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0" w:type="auto"/>
            <w:vMerge w:val="continue"/>
            <w:tcBorders>
              <w:top w:val="single" w:color="auto" w:sz="8" w:space="0"/>
              <w:left w:val="single" w:color="auto" w:sz="0"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230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3.其他</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楷体_GB2312" w:cs="宋体"/>
                <w:color w:val="000000"/>
                <w:kern w:val="0"/>
                <w:sz w:val="24"/>
                <w:szCs w:val="24"/>
                <w:lang w:eastAsia="zh-CN"/>
              </w:rPr>
            </w:pPr>
            <w:r>
              <w:rPr>
                <w:rFonts w:hint="eastAsia" w:ascii="楷体_GB2312" w:hAnsi="楷体_GB2312" w:eastAsia="楷体_GB2312" w:cs="楷体_GB2312"/>
                <w:color w:val="000000"/>
                <w:kern w:val="0"/>
                <w:sz w:val="20"/>
                <w:szCs w:val="20"/>
              </w:rPr>
              <w:t xml:space="preserve"> </w:t>
            </w:r>
            <w:r>
              <w:rPr>
                <w:rFonts w:hint="eastAsia" w:ascii="楷体_GB2312" w:hAnsi="楷体_GB2312" w:eastAsia="楷体_GB2312" w:cs="楷体_GB2312"/>
                <w:color w:val="000000"/>
                <w:kern w:val="0"/>
                <w:sz w:val="20"/>
                <w:szCs w:val="20"/>
                <w:lang w:val="en-US" w:eastAsia="zh-CN"/>
              </w:rPr>
              <w:t>0</w:t>
            </w:r>
          </w:p>
        </w:tc>
      </w:tr>
      <w:tr>
        <w:tblPrEx>
          <w:tblCellMar>
            <w:top w:w="0" w:type="dxa"/>
            <w:left w:w="0" w:type="dxa"/>
            <w:bottom w:w="0" w:type="dxa"/>
            <w:right w:w="0" w:type="dxa"/>
          </w:tblCellMar>
        </w:tblPrEx>
        <w:trPr>
          <w:trHeight w:val="500" w:hRule="atLeast"/>
          <w:jc w:val="center"/>
        </w:trPr>
        <w:tc>
          <w:tcPr>
            <w:tcW w:w="0" w:type="auto"/>
            <w:vMerge w:val="continue"/>
            <w:tcBorders>
              <w:top w:val="single" w:color="auto" w:sz="0"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207"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（七）总计</w:t>
            </w:r>
          </w:p>
        </w:tc>
        <w:tc>
          <w:tcPr>
            <w:tcW w:w="46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val="en-US" w:eastAsia="zh-CN"/>
              </w:rPr>
            </w:pPr>
            <w:r>
              <w:rPr>
                <w:rFonts w:hint="eastAsia" w:ascii="楷体_GB2312" w:hAnsi="楷体_GB2312" w:eastAsia="楷体_GB2312" w:cs="楷体_GB2312"/>
                <w:color w:val="000000"/>
                <w:kern w:val="0"/>
                <w:sz w:val="20"/>
                <w:szCs w:val="20"/>
                <w:lang w:val="en-US" w:eastAsia="zh-CN"/>
              </w:rPr>
              <w:t> 0</w:t>
            </w:r>
          </w:p>
        </w:tc>
        <w:tc>
          <w:tcPr>
            <w:tcW w:w="69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val="en-US" w:eastAsia="zh-CN"/>
              </w:rPr>
            </w:pPr>
            <w:r>
              <w:rPr>
                <w:rFonts w:hint="eastAsia" w:ascii="楷体_GB2312" w:hAnsi="楷体_GB2312" w:eastAsia="楷体_GB2312" w:cs="楷体_GB2312"/>
                <w:color w:val="000000"/>
                <w:kern w:val="0"/>
                <w:sz w:val="20"/>
                <w:szCs w:val="20"/>
                <w:lang w:val="en-US" w:eastAsia="zh-CN"/>
              </w:rPr>
              <w:t> 0</w:t>
            </w:r>
          </w:p>
        </w:tc>
        <w:tc>
          <w:tcPr>
            <w:tcW w:w="6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val="en-US" w:eastAsia="zh-CN"/>
              </w:rPr>
            </w:pPr>
            <w:r>
              <w:rPr>
                <w:rFonts w:hint="eastAsia" w:ascii="楷体_GB2312" w:hAnsi="楷体_GB2312" w:eastAsia="楷体_GB2312" w:cs="楷体_GB2312"/>
                <w:color w:val="000000"/>
                <w:kern w:val="0"/>
                <w:sz w:val="20"/>
                <w:szCs w:val="20"/>
                <w:lang w:val="en-US" w:eastAsia="zh-CN"/>
              </w:rPr>
              <w:t> 0</w:t>
            </w:r>
          </w:p>
        </w:tc>
        <w:tc>
          <w:tcPr>
            <w:tcW w:w="75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val="en-US" w:eastAsia="zh-CN"/>
              </w:rPr>
            </w:pPr>
            <w:r>
              <w:rPr>
                <w:rFonts w:hint="eastAsia" w:ascii="楷体_GB2312" w:hAnsi="楷体_GB2312" w:eastAsia="楷体_GB2312" w:cs="楷体_GB2312"/>
                <w:color w:val="000000"/>
                <w:kern w:val="0"/>
                <w:sz w:val="20"/>
                <w:szCs w:val="20"/>
                <w:lang w:val="en-US" w:eastAsia="zh-CN"/>
              </w:rPr>
              <w:t> 0</w:t>
            </w:r>
          </w:p>
        </w:tc>
        <w:tc>
          <w:tcPr>
            <w:tcW w:w="83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val="en-US" w:eastAsia="zh-CN"/>
              </w:rPr>
            </w:pPr>
            <w:r>
              <w:rPr>
                <w:rFonts w:hint="eastAsia" w:ascii="楷体_GB2312" w:hAnsi="楷体_GB2312" w:eastAsia="楷体_GB2312" w:cs="楷体_GB2312"/>
                <w:color w:val="000000"/>
                <w:kern w:val="0"/>
                <w:sz w:val="20"/>
                <w:szCs w:val="20"/>
                <w:lang w:val="en-US" w:eastAsia="zh-CN"/>
              </w:rPr>
              <w:t> 0</w:t>
            </w:r>
          </w:p>
        </w:tc>
        <w:tc>
          <w:tcPr>
            <w:tcW w:w="0" w:type="auto"/>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val="en-US" w:eastAsia="zh-CN"/>
              </w:rPr>
            </w:pPr>
            <w:r>
              <w:rPr>
                <w:rFonts w:hint="eastAsia" w:ascii="楷体_GB2312" w:hAnsi="楷体_GB2312" w:eastAsia="楷体_GB2312" w:cs="楷体_GB2312"/>
                <w:color w:val="000000"/>
                <w:kern w:val="0"/>
                <w:sz w:val="20"/>
                <w:szCs w:val="20"/>
                <w:lang w:val="en-US" w:eastAsia="zh-CN"/>
              </w:rPr>
              <w:t> 0</w:t>
            </w:r>
          </w:p>
        </w:tc>
        <w:tc>
          <w:tcPr>
            <w:tcW w:w="5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0"/>
                <w:szCs w:val="20"/>
                <w:lang w:val="en-US" w:eastAsia="zh-CN"/>
              </w:rPr>
            </w:pPr>
            <w:r>
              <w:rPr>
                <w:rFonts w:hint="eastAsia" w:ascii="楷体_GB2312" w:hAnsi="楷体_GB2312" w:eastAsia="楷体_GB2312" w:cs="楷体_GB2312"/>
                <w:color w:val="000000"/>
                <w:kern w:val="0"/>
                <w:sz w:val="20"/>
                <w:szCs w:val="20"/>
                <w:lang w:val="en-US" w:eastAsia="zh-CN"/>
              </w:rPr>
              <w:t> 0</w:t>
            </w:r>
          </w:p>
        </w:tc>
      </w:tr>
      <w:tr>
        <w:tblPrEx>
          <w:tblCellMar>
            <w:top w:w="0" w:type="dxa"/>
            <w:left w:w="0" w:type="dxa"/>
            <w:bottom w:w="0" w:type="dxa"/>
            <w:right w:w="0" w:type="dxa"/>
          </w:tblCellMar>
        </w:tblPrEx>
        <w:trPr>
          <w:trHeight w:val="732" w:hRule="atLeast"/>
          <w:jc w:val="center"/>
        </w:trPr>
        <w:tc>
          <w:tcPr>
            <w:tcW w:w="40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0"/>
                <w:szCs w:val="20"/>
              </w:rPr>
              <w:t>四、结转下年度继续办理</w:t>
            </w:r>
          </w:p>
        </w:tc>
        <w:tc>
          <w:tcPr>
            <w:tcW w:w="4421" w:type="dxa"/>
            <w:gridSpan w:val="7"/>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楷体_GB2312" w:hAnsi="楷体_GB2312" w:eastAsia="楷体_GB2312" w:cs="楷体_GB2312"/>
                <w:color w:val="000000"/>
                <w:kern w:val="0"/>
                <w:sz w:val="24"/>
                <w:szCs w:val="24"/>
                <w:lang w:eastAsia="zh-CN"/>
              </w:rPr>
            </w:pPr>
            <w:r>
              <w:rPr>
                <w:rFonts w:hint="eastAsia" w:ascii="楷体_GB2312" w:hAnsi="楷体_GB2312" w:eastAsia="楷体_GB2312" w:cs="楷体_GB2312"/>
                <w:color w:val="000000"/>
                <w:kern w:val="0"/>
                <w:sz w:val="20"/>
                <w:szCs w:val="20"/>
                <w:lang w:val="en-US" w:eastAsia="zh-CN"/>
              </w:rPr>
              <w:t>0</w:t>
            </w:r>
          </w:p>
        </w:tc>
      </w:tr>
    </w:tbl>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rPr>
          <w:rFonts w:hint="eastAsia" w:ascii="黑体" w:hAnsi="黑体" w:eastAsia="黑体" w:cs="黑体"/>
          <w:i w:val="0"/>
          <w:caps w:val="0"/>
          <w:color w:val="auto"/>
          <w:spacing w:val="0"/>
          <w:sz w:val="32"/>
          <w:szCs w:val="32"/>
          <w:shd w:val="clear" w:color="auto" w:fill="FFFFFF"/>
          <w:lang w:eastAsia="zh-CN"/>
        </w:rPr>
      </w:pPr>
      <w:r>
        <w:rPr>
          <w:rFonts w:hint="eastAsia" w:ascii="黑体" w:hAnsi="黑体" w:eastAsia="黑体" w:cs="黑体"/>
          <w:i w:val="0"/>
          <w:caps w:val="0"/>
          <w:color w:val="auto"/>
          <w:spacing w:val="0"/>
          <w:sz w:val="32"/>
          <w:szCs w:val="32"/>
          <w:shd w:val="clear" w:color="auto" w:fill="FFFFFF"/>
          <w:lang w:eastAsia="zh-CN"/>
        </w:rPr>
        <w:t>政府信息公开行政复议</w:t>
      </w:r>
      <w:r>
        <w:rPr>
          <w:rFonts w:hint="eastAsia" w:ascii="黑体" w:hAnsi="黑体" w:eastAsia="黑体" w:cs="黑体"/>
          <w:i w:val="0"/>
          <w:caps w:val="0"/>
          <w:color w:val="auto"/>
          <w:spacing w:val="0"/>
          <w:sz w:val="32"/>
          <w:szCs w:val="32"/>
          <w:shd w:val="clear" w:color="auto" w:fill="FFFFFF"/>
          <w:lang w:val="en-US" w:eastAsia="zh-CN"/>
        </w:rPr>
        <w:t>和</w:t>
      </w:r>
      <w:r>
        <w:rPr>
          <w:rFonts w:hint="eastAsia" w:ascii="黑体" w:hAnsi="黑体" w:eastAsia="黑体" w:cs="黑体"/>
          <w:i w:val="0"/>
          <w:caps w:val="0"/>
          <w:color w:val="auto"/>
          <w:spacing w:val="0"/>
          <w:sz w:val="32"/>
          <w:szCs w:val="32"/>
          <w:shd w:val="clear" w:color="auto" w:fill="FFFFFF"/>
          <w:lang w:eastAsia="zh-CN"/>
        </w:rPr>
        <w:t>行政诉讼情况</w:t>
      </w:r>
    </w:p>
    <w:tbl>
      <w:tblPr>
        <w:tblStyle w:val="3"/>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结果</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其他</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尚未</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结果</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维持</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结果</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其他</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尚未</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结果</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结果</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其他</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尚未</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0"/>
                <w:szCs w:val="20"/>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0"/>
                <w:szCs w:val="20"/>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eastAsia" w:ascii="黑体" w:hAnsi="黑体" w:eastAsia="黑体" w:cs="黑体"/>
          <w:i w:val="0"/>
          <w:caps w:val="0"/>
          <w:color w:val="auto"/>
          <w:spacing w:val="0"/>
          <w:sz w:val="32"/>
          <w:szCs w:val="32"/>
          <w:shd w:val="clear" w:color="auto" w:fill="FFFFFF"/>
          <w:lang w:eastAsia="zh-CN"/>
        </w:rPr>
      </w:pPr>
      <w:r>
        <w:rPr>
          <w:rFonts w:hint="eastAsia" w:ascii="黑体" w:hAnsi="黑体" w:eastAsia="黑体" w:cs="黑体"/>
          <w:i w:val="0"/>
          <w:caps w:val="0"/>
          <w:color w:val="auto"/>
          <w:spacing w:val="0"/>
          <w:sz w:val="32"/>
          <w:szCs w:val="32"/>
          <w:shd w:val="clear" w:color="auto" w:fill="FFFFFF"/>
          <w:lang w:eastAsia="zh-CN"/>
        </w:rPr>
        <w:t>五、存在的</w:t>
      </w:r>
      <w:r>
        <w:rPr>
          <w:rFonts w:hint="eastAsia" w:ascii="黑体" w:hAnsi="黑体" w:eastAsia="黑体" w:cs="黑体"/>
          <w:i w:val="0"/>
          <w:caps w:val="0"/>
          <w:color w:val="auto"/>
          <w:spacing w:val="0"/>
          <w:sz w:val="32"/>
          <w:szCs w:val="32"/>
          <w:shd w:val="clear" w:color="auto" w:fill="FFFFFF"/>
          <w:lang w:val="en-US" w:eastAsia="zh-CN"/>
        </w:rPr>
        <w:t>主要</w:t>
      </w:r>
      <w:r>
        <w:rPr>
          <w:rFonts w:hint="eastAsia" w:ascii="黑体" w:hAnsi="黑体" w:eastAsia="黑体" w:cs="黑体"/>
          <w:i w:val="0"/>
          <w:caps w:val="0"/>
          <w:color w:val="auto"/>
          <w:spacing w:val="0"/>
          <w:sz w:val="32"/>
          <w:szCs w:val="32"/>
          <w:shd w:val="clear" w:color="auto" w:fill="FFFFFF"/>
          <w:lang w:eastAsia="zh-CN"/>
        </w:rPr>
        <w:t>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sz w:val="32"/>
          <w:szCs w:val="32"/>
          <w:shd w:val="clear" w:color="auto" w:fill="FFFFFF"/>
          <w:lang w:val="en-US" w:eastAsia="zh-CN"/>
        </w:rPr>
        <w:t>2024年度</w:t>
      </w:r>
      <w:r>
        <w:rPr>
          <w:rFonts w:hint="eastAsia" w:ascii="仿宋_GB2312" w:hAnsi="仿宋_GB2312" w:eastAsia="仿宋_GB2312" w:cs="仿宋_GB2312"/>
          <w:i w:val="0"/>
          <w:caps w:val="0"/>
          <w:color w:val="auto"/>
          <w:spacing w:val="0"/>
          <w:sz w:val="32"/>
          <w:szCs w:val="32"/>
          <w:shd w:val="clear" w:color="auto" w:fill="FFFFFF"/>
        </w:rPr>
        <w:t>政府信息公开工作取得</w:t>
      </w:r>
      <w:r>
        <w:rPr>
          <w:rFonts w:hint="eastAsia" w:ascii="仿宋_GB2312" w:hAnsi="仿宋_GB2312" w:eastAsia="仿宋_GB2312" w:cs="仿宋_GB2312"/>
          <w:i w:val="0"/>
          <w:caps w:val="0"/>
          <w:color w:val="auto"/>
          <w:spacing w:val="0"/>
          <w:sz w:val="32"/>
          <w:szCs w:val="32"/>
          <w:shd w:val="clear" w:color="auto" w:fill="FFFFFF"/>
          <w:lang w:eastAsia="zh-CN"/>
        </w:rPr>
        <w:t>了</w:t>
      </w:r>
      <w:r>
        <w:rPr>
          <w:rFonts w:hint="eastAsia" w:ascii="仿宋_GB2312" w:hAnsi="仿宋_GB2312" w:eastAsia="仿宋_GB2312" w:cs="仿宋_GB2312"/>
          <w:i w:val="0"/>
          <w:caps w:val="0"/>
          <w:color w:val="auto"/>
          <w:spacing w:val="0"/>
          <w:sz w:val="32"/>
          <w:szCs w:val="32"/>
          <w:shd w:val="clear" w:color="auto" w:fill="FFFFFF"/>
        </w:rPr>
        <w:t>一定</w:t>
      </w:r>
      <w:r>
        <w:rPr>
          <w:rFonts w:hint="eastAsia" w:ascii="仿宋_GB2312" w:hAnsi="仿宋_GB2312" w:eastAsia="仿宋_GB2312" w:cs="仿宋_GB2312"/>
          <w:i w:val="0"/>
          <w:caps w:val="0"/>
          <w:color w:val="auto"/>
          <w:spacing w:val="0"/>
          <w:sz w:val="32"/>
          <w:szCs w:val="32"/>
          <w:shd w:val="clear" w:color="auto" w:fill="FFFFFF"/>
          <w:lang w:eastAsia="zh-CN"/>
        </w:rPr>
        <w:t>的</w:t>
      </w:r>
      <w:r>
        <w:rPr>
          <w:rFonts w:hint="eastAsia" w:ascii="仿宋_GB2312" w:hAnsi="仿宋_GB2312" w:eastAsia="仿宋_GB2312" w:cs="仿宋_GB2312"/>
          <w:i w:val="0"/>
          <w:caps w:val="0"/>
          <w:color w:val="auto"/>
          <w:spacing w:val="0"/>
          <w:sz w:val="32"/>
          <w:szCs w:val="32"/>
          <w:shd w:val="clear" w:color="auto" w:fill="FFFFFF"/>
        </w:rPr>
        <w:t>成绩，但仍然存在一些问题，</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主要体现以下三个方面：</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一是</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对依法公开的认识还不够深入；</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二是</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对《</w:t>
      </w:r>
      <w:r>
        <w:rPr>
          <w:rFonts w:hint="eastAsia" w:ascii="仿宋_GB2312" w:hAnsi="仿宋_GB2312" w:eastAsia="仿宋_GB2312" w:cs="仿宋_GB2312"/>
          <w:i w:val="0"/>
          <w:caps w:val="0"/>
          <w:color w:val="auto"/>
          <w:spacing w:val="0"/>
          <w:sz w:val="32"/>
          <w:szCs w:val="32"/>
          <w:shd w:val="clear" w:color="auto" w:fill="FFFFFF"/>
        </w:rPr>
        <w:t>中华人民共和国政府信息公开</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条例》研读不够，解读不到位，未学深悟透。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针对上述存在的问题，在下步工作中，本单位将重点抓好以下三个方面的工作：</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一是</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进一步提高依法主动公开意识，强化对《</w:t>
      </w:r>
      <w:r>
        <w:rPr>
          <w:rFonts w:hint="eastAsia" w:ascii="仿宋_GB2312" w:hAnsi="仿宋_GB2312" w:eastAsia="仿宋_GB2312" w:cs="仿宋_GB2312"/>
          <w:i w:val="0"/>
          <w:caps w:val="0"/>
          <w:color w:val="auto"/>
          <w:spacing w:val="0"/>
          <w:sz w:val="32"/>
          <w:szCs w:val="32"/>
          <w:shd w:val="clear" w:color="auto" w:fill="FFFFFF"/>
        </w:rPr>
        <w:t>中华人民共和国政府信息公开</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条例》的学习，学懂弄通，学深悟透，使之入脑入心。</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二是</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强化业务培训，进一步提高工作人员的业务水平，熟练掌握</w:t>
      </w:r>
      <w:bookmarkStart w:id="0" w:name="_GoBack"/>
      <w:bookmarkEnd w:id="0"/>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公开业务。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color="auto" w:fill="FFFFFF"/>
          <w:lang w:eastAsia="zh-CN"/>
        </w:rPr>
        <w:t>六</w:t>
      </w:r>
      <w:r>
        <w:rPr>
          <w:rFonts w:hint="eastAsia" w:ascii="黑体" w:hAnsi="黑体" w:eastAsia="黑体" w:cs="黑体"/>
          <w:i w:val="0"/>
          <w:caps w:val="0"/>
          <w:color w:val="auto"/>
          <w:spacing w:val="0"/>
          <w:sz w:val="32"/>
          <w:szCs w:val="32"/>
          <w:shd w:val="clear" w:color="auto" w:fill="FFFFFF"/>
        </w:rPr>
        <w:t>、其他需要报告的事项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20</w:t>
      </w:r>
      <w:r>
        <w:rPr>
          <w:rFonts w:hint="eastAsia" w:ascii="仿宋_GB2312" w:hAnsi="仿宋_GB2312" w:eastAsia="仿宋_GB2312" w:cs="仿宋_GB2312"/>
          <w:i w:val="0"/>
          <w:caps w:val="0"/>
          <w:color w:val="auto"/>
          <w:spacing w:val="0"/>
          <w:sz w:val="32"/>
          <w:szCs w:val="32"/>
          <w:shd w:val="clear" w:color="auto" w:fill="FFFFFF"/>
          <w:lang w:val="en-US" w:eastAsia="zh-CN"/>
        </w:rPr>
        <w:t>24</w:t>
      </w:r>
      <w:r>
        <w:rPr>
          <w:rFonts w:hint="eastAsia" w:ascii="仿宋_GB2312" w:hAnsi="仿宋_GB2312" w:eastAsia="仿宋_GB2312" w:cs="仿宋_GB2312"/>
          <w:i w:val="0"/>
          <w:caps w:val="0"/>
          <w:color w:val="auto"/>
          <w:spacing w:val="0"/>
          <w:sz w:val="32"/>
          <w:szCs w:val="32"/>
          <w:shd w:val="clear" w:color="auto" w:fill="FFFFFF"/>
        </w:rPr>
        <w:t>年度，</w:t>
      </w:r>
      <w:r>
        <w:rPr>
          <w:rFonts w:hint="eastAsia" w:ascii="仿宋_GB2312" w:hAnsi="仿宋_GB2312" w:eastAsia="仿宋_GB2312" w:cs="仿宋_GB2312"/>
          <w:i w:val="0"/>
          <w:caps w:val="0"/>
          <w:color w:val="auto"/>
          <w:spacing w:val="0"/>
          <w:sz w:val="32"/>
          <w:szCs w:val="32"/>
          <w:shd w:val="clear" w:color="auto" w:fill="FFFFFF"/>
          <w:lang w:val="en-US" w:eastAsia="zh-CN"/>
        </w:rPr>
        <w:t>本单位</w:t>
      </w:r>
      <w:r>
        <w:rPr>
          <w:rFonts w:hint="eastAsia" w:ascii="仿宋_GB2312" w:hAnsi="仿宋_GB2312" w:eastAsia="仿宋_GB2312" w:cs="仿宋_GB2312"/>
          <w:i w:val="0"/>
          <w:caps w:val="0"/>
          <w:color w:val="auto"/>
          <w:spacing w:val="0"/>
          <w:sz w:val="32"/>
          <w:szCs w:val="32"/>
          <w:shd w:val="clear" w:color="auto" w:fill="FFFFFF"/>
        </w:rPr>
        <w:t>无其它需要报告的事项。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凤冈县气象局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auto"/>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2025年1月13日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12D101-BCA4-458A-B4B0-E3281F3263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75010E23-1B9A-4391-8334-CF9E8F88E61D}"/>
  </w:font>
  <w:font w:name="仿宋_GB2312">
    <w:panose1 w:val="02010609030101010101"/>
    <w:charset w:val="86"/>
    <w:family w:val="auto"/>
    <w:pitch w:val="default"/>
    <w:sig w:usb0="00000001" w:usb1="080E0000" w:usb2="00000000" w:usb3="00000000" w:csb0="00040000" w:csb1="00000000"/>
    <w:embedRegular r:id="rId3" w:fontKey="{192264D3-40E0-4012-B2A9-D6EB1CFC926E}"/>
  </w:font>
  <w:font w:name="楷体_GB2312">
    <w:panose1 w:val="02010609030101010101"/>
    <w:charset w:val="86"/>
    <w:family w:val="auto"/>
    <w:pitch w:val="default"/>
    <w:sig w:usb0="00000001" w:usb1="080E0000" w:usb2="00000000" w:usb3="00000000" w:csb0="00040000" w:csb1="00000000"/>
    <w:embedRegular r:id="rId4" w:fontKey="{1C758D9A-7B4E-4F2B-9AF6-E33772411D18}"/>
  </w:font>
  <w:font w:name="方正黑体_GBK">
    <w:altName w:val="微软雅黑"/>
    <w:panose1 w:val="02000000000000000000"/>
    <w:charset w:val="86"/>
    <w:family w:val="auto"/>
    <w:pitch w:val="default"/>
    <w:sig w:usb0="00000000" w:usb1="00000000" w:usb2="00000000" w:usb3="00000000" w:csb0="00040000" w:csb1="00000000"/>
    <w:embedRegular r:id="rId5" w:fontKey="{AD7D5478-D02B-4101-9184-D6FB8D4BFB25}"/>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embedRegular r:id="rId6" w:fontKey="{63210D6A-C049-4585-99F8-7DEEA8FD79F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A43E5"/>
    <w:multiLevelType w:val="singleLevel"/>
    <w:tmpl w:val="D6BA43E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Yzg0M2YzYjkyMmY2OWNlNzQxZjg3ZjcxMzBmOWQifQ=="/>
  </w:docVars>
  <w:rsids>
    <w:rsidRoot w:val="0CE94B36"/>
    <w:rsid w:val="02936060"/>
    <w:rsid w:val="031C69C1"/>
    <w:rsid w:val="043F27E4"/>
    <w:rsid w:val="04663B7A"/>
    <w:rsid w:val="04E53727"/>
    <w:rsid w:val="051C5DC5"/>
    <w:rsid w:val="06AF1589"/>
    <w:rsid w:val="079E08FC"/>
    <w:rsid w:val="0A1F6E0B"/>
    <w:rsid w:val="0A7936B8"/>
    <w:rsid w:val="0B621BDB"/>
    <w:rsid w:val="0C4604B6"/>
    <w:rsid w:val="0CE94B36"/>
    <w:rsid w:val="0ED00C0D"/>
    <w:rsid w:val="0F3E3D2C"/>
    <w:rsid w:val="0F9F5415"/>
    <w:rsid w:val="10140CED"/>
    <w:rsid w:val="10171732"/>
    <w:rsid w:val="105A0AEA"/>
    <w:rsid w:val="10723BAC"/>
    <w:rsid w:val="12491EEA"/>
    <w:rsid w:val="12494255"/>
    <w:rsid w:val="146F4DCC"/>
    <w:rsid w:val="14C27D1B"/>
    <w:rsid w:val="157B0062"/>
    <w:rsid w:val="15F525E6"/>
    <w:rsid w:val="196C5C4F"/>
    <w:rsid w:val="1ADD1ED0"/>
    <w:rsid w:val="1B076320"/>
    <w:rsid w:val="1BD405EA"/>
    <w:rsid w:val="1C3F28FE"/>
    <w:rsid w:val="1D8D3F0E"/>
    <w:rsid w:val="1DCD7E90"/>
    <w:rsid w:val="1DE64E95"/>
    <w:rsid w:val="1E206AC8"/>
    <w:rsid w:val="1E5536A3"/>
    <w:rsid w:val="1FAA5002"/>
    <w:rsid w:val="202351E5"/>
    <w:rsid w:val="202E2809"/>
    <w:rsid w:val="20463A7A"/>
    <w:rsid w:val="206A2731"/>
    <w:rsid w:val="20AD26B1"/>
    <w:rsid w:val="2276780E"/>
    <w:rsid w:val="23355C2C"/>
    <w:rsid w:val="23EB4356"/>
    <w:rsid w:val="25453B91"/>
    <w:rsid w:val="262E2254"/>
    <w:rsid w:val="269D267E"/>
    <w:rsid w:val="272828BA"/>
    <w:rsid w:val="27622A97"/>
    <w:rsid w:val="28C158E1"/>
    <w:rsid w:val="2C8E24DE"/>
    <w:rsid w:val="2D952F60"/>
    <w:rsid w:val="2DBD5018"/>
    <w:rsid w:val="2DF004F1"/>
    <w:rsid w:val="2EBB0871"/>
    <w:rsid w:val="2F764B1D"/>
    <w:rsid w:val="31F1123F"/>
    <w:rsid w:val="32C57C79"/>
    <w:rsid w:val="341903F0"/>
    <w:rsid w:val="346907E5"/>
    <w:rsid w:val="35D25977"/>
    <w:rsid w:val="36687B9A"/>
    <w:rsid w:val="378824F5"/>
    <w:rsid w:val="37C41915"/>
    <w:rsid w:val="384409FB"/>
    <w:rsid w:val="393D2486"/>
    <w:rsid w:val="3A9653F9"/>
    <w:rsid w:val="3B104F53"/>
    <w:rsid w:val="3BE41B36"/>
    <w:rsid w:val="400773AD"/>
    <w:rsid w:val="40F85C6A"/>
    <w:rsid w:val="412A3099"/>
    <w:rsid w:val="424871F8"/>
    <w:rsid w:val="43E56665"/>
    <w:rsid w:val="43EC4378"/>
    <w:rsid w:val="44A178C7"/>
    <w:rsid w:val="44E92146"/>
    <w:rsid w:val="452F2B9D"/>
    <w:rsid w:val="4C914B12"/>
    <w:rsid w:val="4CA16603"/>
    <w:rsid w:val="4D14122D"/>
    <w:rsid w:val="4DE27213"/>
    <w:rsid w:val="4E257A90"/>
    <w:rsid w:val="4EDE44A2"/>
    <w:rsid w:val="50593236"/>
    <w:rsid w:val="51D302CC"/>
    <w:rsid w:val="52FF675D"/>
    <w:rsid w:val="532E0B68"/>
    <w:rsid w:val="54B1746C"/>
    <w:rsid w:val="55A363AF"/>
    <w:rsid w:val="55BF5760"/>
    <w:rsid w:val="57091706"/>
    <w:rsid w:val="5C8C2C26"/>
    <w:rsid w:val="5CE22B19"/>
    <w:rsid w:val="5D6C5F86"/>
    <w:rsid w:val="5F0D4B3E"/>
    <w:rsid w:val="5F263BF3"/>
    <w:rsid w:val="5F7746CA"/>
    <w:rsid w:val="60D867D9"/>
    <w:rsid w:val="626107F8"/>
    <w:rsid w:val="62CC16A3"/>
    <w:rsid w:val="648E680B"/>
    <w:rsid w:val="65C75C34"/>
    <w:rsid w:val="668122B6"/>
    <w:rsid w:val="67231928"/>
    <w:rsid w:val="697C1327"/>
    <w:rsid w:val="69A1207F"/>
    <w:rsid w:val="69BA36D7"/>
    <w:rsid w:val="6B5E2F81"/>
    <w:rsid w:val="6E821617"/>
    <w:rsid w:val="6EDF1050"/>
    <w:rsid w:val="705F5E3F"/>
    <w:rsid w:val="708D62FC"/>
    <w:rsid w:val="726B70F3"/>
    <w:rsid w:val="728B68DB"/>
    <w:rsid w:val="72CE5972"/>
    <w:rsid w:val="74F66B66"/>
    <w:rsid w:val="763B283F"/>
    <w:rsid w:val="775342E1"/>
    <w:rsid w:val="792415B3"/>
    <w:rsid w:val="79504778"/>
    <w:rsid w:val="796531B3"/>
    <w:rsid w:val="79675A75"/>
    <w:rsid w:val="79E75721"/>
    <w:rsid w:val="7A3B3C1B"/>
    <w:rsid w:val="7AA4574D"/>
    <w:rsid w:val="7B1B4558"/>
    <w:rsid w:val="7BD11D3C"/>
    <w:rsid w:val="7C356789"/>
    <w:rsid w:val="7D8A6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2717</Words>
  <Characters>2773</Characters>
  <Lines>0</Lines>
  <Paragraphs>0</Paragraphs>
  <TotalTime>1</TotalTime>
  <ScaleCrop>false</ScaleCrop>
  <LinksUpToDate>false</LinksUpToDate>
  <CharactersWithSpaces>2885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2021-11-18T08:58:00Z</dcterms:created>
  <dc:creator>^^_</dc:creator>
  <cp:lastModifiedBy>王玉</cp:lastModifiedBy>
  <dcterms:modified xsi:type="dcterms:W3CDTF">2025-01-13T01:34:52Z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5069AFA36B4A45AF8D320484658741EE_13</vt:lpwstr>
  </property>
</Properties>
</file>