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都匀市气象局</w:t>
      </w:r>
      <w:r>
        <w:rPr>
          <w:rFonts w:hint="eastAsia" w:ascii="方正小标宋简体" w:hAnsi="方正小标宋简体" w:eastAsia="方正小标宋简体" w:cs="方正小标宋简体"/>
          <w:b/>
          <w:bCs/>
          <w:sz w:val="36"/>
          <w:szCs w:val="36"/>
          <w:lang w:val="en-US" w:eastAsia="zh-CN"/>
        </w:rPr>
        <w:t>2022年</w:t>
      </w:r>
      <w:r>
        <w:rPr>
          <w:rFonts w:hint="eastAsia" w:ascii="方正小标宋简体" w:hAnsi="方正小标宋简体" w:eastAsia="方正小标宋简体" w:cs="方正小标宋简体"/>
          <w:b/>
          <w:bCs/>
          <w:sz w:val="36"/>
          <w:szCs w:val="36"/>
          <w:lang w:eastAsia="zh-CN"/>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bCs/>
          <w:sz w:val="36"/>
          <w:szCs w:val="36"/>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kern w:val="2"/>
          <w:sz w:val="24"/>
          <w:szCs w:val="24"/>
          <w:lang w:val="en-US" w:eastAsia="zh-CN" w:bidi="ar-SA"/>
        </w:rPr>
        <w:t>根据《中华人民共和国政府信息公开条例》《气象部门政府信息公开办法》《贵州省气象部门政府信息公开办法》的有关规定，现将2022年度都匀市气象局政府信息公开工作情况报告如下：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kern w:val="2"/>
          <w:sz w:val="24"/>
          <w:szCs w:val="24"/>
          <w:lang w:val="en-US" w:eastAsia="zh-CN" w:bidi="ar-SA"/>
        </w:rPr>
        <w:t>本报告包括总体情况、主动公开政府信息情况、收到和处理政府信息公开申请情况、政府信息公开行政复议和行政诉讼情况、存在的主要问题及改进情况和其他需要报告的事项等六个部分。本年报中所列数据的统计期限自2022年1月1日起至2022年12月31日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ascii="黑体" w:hAnsi="黑体" w:eastAsia="黑体" w:cs="黑体"/>
          <w:b/>
          <w:bCs/>
          <w:color w:val="333333"/>
          <w:kern w:val="0"/>
          <w:sz w:val="24"/>
          <w:szCs w:val="24"/>
          <w:lang w:eastAsia="zh-CN"/>
        </w:rPr>
      </w:pPr>
      <w:r>
        <w:rPr>
          <w:rFonts w:hint="eastAsia" w:ascii="黑体" w:hAnsi="黑体" w:eastAsia="黑体" w:cs="黑体"/>
          <w:b/>
          <w:bCs/>
          <w:color w:val="333333"/>
          <w:kern w:val="0"/>
          <w:sz w:val="24"/>
          <w:szCs w:val="24"/>
          <w:lang w:eastAsia="zh-CN"/>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kern w:val="2"/>
          <w:sz w:val="24"/>
          <w:szCs w:val="24"/>
          <w:lang w:val="en-US" w:eastAsia="zh-CN" w:bidi="ar-SA"/>
        </w:rPr>
        <w:t>2022年，都匀市气象局按照中国气象局要求，结合都匀市人民政府和黔南州气象局对政府信息公开工作的有关要求严格开展。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kern w:val="2"/>
          <w:sz w:val="24"/>
          <w:szCs w:val="24"/>
          <w:lang w:val="en-US" w:eastAsia="zh-CN" w:bidi="ar-SA"/>
        </w:rPr>
        <w:t>（一）制度建设情况。都匀市气象局高度重视政务公开工作，将政府信息公开工作纳入重要议事日程，确定的主动公开范围和内容，将局办公室作为信息公开工作机构，以公开、便民、廉政、高效为基本要求，大力推进政务公开工作，不断提升我局政务工作、政府信息透明度和行政效能，为群众提供优质、便捷、高效服务。按照《气象部门政府信息公开办法》《贵州省气象部门政府信息公开办法》及《贵州省气象局政府信息公开指南》等制度规定，完善主动公开、依申请公开、信息统计、投诉举报、责任追究等机制和工作程序扎实、有序地推进本单位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i w:val="0"/>
          <w:caps w:val="0"/>
          <w:color w:val="auto"/>
          <w:spacing w:val="0"/>
          <w:kern w:val="2"/>
          <w:sz w:val="24"/>
          <w:szCs w:val="24"/>
          <w:highlight w:val="none"/>
          <w:lang w:val="en-US" w:eastAsia="zh-CN" w:bidi="ar-SA"/>
        </w:rPr>
      </w:pPr>
      <w:r>
        <w:rPr>
          <w:rFonts w:hint="eastAsia" w:ascii="仿宋_GB2312" w:hAnsi="仿宋_GB2312" w:eastAsia="仿宋_GB2312" w:cs="仿宋_GB2312"/>
          <w:i w:val="0"/>
          <w:caps w:val="0"/>
          <w:color w:val="auto"/>
          <w:spacing w:val="0"/>
          <w:kern w:val="2"/>
          <w:sz w:val="24"/>
          <w:szCs w:val="24"/>
          <w:lang w:val="en-US" w:eastAsia="zh-CN" w:bidi="ar-SA"/>
        </w:rPr>
        <w:t>（二）主动公开情况。2022年，坚持“人民至上，生命至上”、“防灾减灾，气象先行”的服务理念，按程序和要求及时主动公开各类气象信息。本单位官方微信公众号“都匀智慧气象”正常运行，坚持每天维护更新相关信息</w:t>
      </w:r>
      <w:r>
        <w:rPr>
          <w:rFonts w:hint="eastAsia" w:ascii="仿宋_GB2312" w:hAnsi="仿宋_GB2312" w:eastAsia="仿宋_GB2312" w:cs="仿宋_GB2312"/>
          <w:i w:val="0"/>
          <w:caps w:val="0"/>
          <w:color w:val="auto"/>
          <w:spacing w:val="0"/>
          <w:kern w:val="2"/>
          <w:sz w:val="24"/>
          <w:szCs w:val="24"/>
          <w:highlight w:val="none"/>
          <w:lang w:val="en-US" w:eastAsia="zh-CN" w:bidi="ar-SA"/>
        </w:rPr>
        <w:t>。通过市人民政府门户网站主动发布公示公告（法治政府建设报告、2022年度部门决算及“三公”经费、雷电防护装置检测工作通告、人工影响天气作业公告等）共4条,发布部门动态信息12条。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kern w:val="2"/>
          <w:sz w:val="24"/>
          <w:szCs w:val="24"/>
          <w:lang w:val="en-US" w:eastAsia="zh-CN" w:bidi="ar-SA"/>
        </w:rPr>
        <w:t>（三）收到和处理政府信息公开申请情况。2022年，都匀市气象局无依申请公开事项。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kern w:val="2"/>
          <w:sz w:val="24"/>
          <w:szCs w:val="24"/>
          <w:lang w:val="en-US" w:eastAsia="zh-CN" w:bidi="ar-SA"/>
        </w:rPr>
        <w:t>（四）行政复议和行政诉讼情况。2022年，我单位未收到行政复议和行政诉讼申请。未出现因政府信息公开工作而被申请行政复议或被提起行政诉讼的情况。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kern w:val="2"/>
          <w:sz w:val="24"/>
          <w:szCs w:val="24"/>
          <w:lang w:val="en-US" w:eastAsia="zh-CN" w:bidi="ar-SA"/>
        </w:rPr>
        <w:t>（五）平台建设情况。依托贵州政务服务网、贵州省“双随机一公开”平台，将权责清单、行政执法信息对外公布，并及时处理各类政务服务事项。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i w:val="0"/>
          <w:caps w:val="0"/>
          <w:color w:val="auto"/>
          <w:spacing w:val="0"/>
          <w:kern w:val="2"/>
          <w:sz w:val="24"/>
          <w:szCs w:val="24"/>
          <w:lang w:val="en-US" w:eastAsia="zh-CN" w:bidi="ar-SA"/>
        </w:rPr>
      </w:pPr>
      <w:r>
        <w:rPr>
          <w:rFonts w:hint="eastAsia" w:ascii="仿宋_GB2312" w:hAnsi="仿宋_GB2312" w:eastAsia="仿宋_GB2312" w:cs="仿宋_GB2312"/>
          <w:i w:val="0"/>
          <w:caps w:val="0"/>
          <w:color w:val="auto"/>
          <w:spacing w:val="0"/>
          <w:kern w:val="2"/>
          <w:sz w:val="24"/>
          <w:szCs w:val="24"/>
          <w:lang w:val="en-US" w:eastAsia="zh-CN" w:bidi="ar-SA"/>
        </w:rPr>
        <w:t>（六）举报投诉情况。2022年，未直接收到举报投诉件。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i w:val="0"/>
          <w:caps w:val="0"/>
          <w:color w:val="auto"/>
          <w:spacing w:val="0"/>
          <w:kern w:val="2"/>
          <w:sz w:val="24"/>
          <w:szCs w:val="24"/>
          <w:lang w:val="en-US" w:eastAsia="zh-CN" w:bidi="ar-SA"/>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ascii="黑体" w:hAnsi="黑体" w:eastAsia="黑体" w:cs="黑体"/>
          <w:b/>
          <w:bCs/>
          <w:color w:val="333333"/>
          <w:kern w:val="0"/>
          <w:sz w:val="24"/>
          <w:szCs w:val="24"/>
          <w:lang w:eastAsia="zh-CN"/>
        </w:rPr>
      </w:pPr>
      <w:r>
        <w:rPr>
          <w:rFonts w:hint="eastAsia" w:ascii="黑体" w:hAnsi="黑体" w:eastAsia="黑体" w:cs="黑体"/>
          <w:b/>
          <w:bCs/>
          <w:color w:val="333333"/>
          <w:kern w:val="0"/>
          <w:sz w:val="24"/>
          <w:szCs w:val="24"/>
          <w:lang w:eastAsia="zh-CN"/>
        </w:rPr>
        <w:t>二、主动公开政府信息情况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480"/>
        <w:textAlignment w:val="auto"/>
        <w:rPr>
          <w:rFonts w:hint="eastAsia" w:ascii="宋体" w:hAnsi="宋体" w:eastAsia="宋体" w:cs="宋体"/>
          <w:color w:val="auto"/>
          <w:kern w:val="0"/>
          <w:sz w:val="24"/>
          <w:szCs w:val="24"/>
        </w:rPr>
      </w:pPr>
    </w:p>
    <w:tbl>
      <w:tblPr>
        <w:tblStyle w:val="4"/>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本年</w:t>
            </w:r>
            <w:r>
              <w:rPr>
                <w:rFonts w:ascii="宋体" w:hAnsi="宋体" w:eastAsia="宋体" w:cs="宋体"/>
                <w:color w:val="auto"/>
                <w:kern w:val="0"/>
                <w:sz w:val="20"/>
                <w:szCs w:val="20"/>
              </w:rPr>
              <w:t>制</w:t>
            </w:r>
            <w:r>
              <w:rPr>
                <w:rFonts w:hint="eastAsia" w:ascii="宋体" w:hAnsi="宋体" w:eastAsia="宋体" w:cs="宋体"/>
                <w:color w:val="auto"/>
                <w:kern w:val="0"/>
                <w:sz w:val="20"/>
                <w:szCs w:val="20"/>
              </w:rPr>
              <w:t>发件</w:t>
            </w:r>
            <w:r>
              <w:rPr>
                <w:rFonts w:ascii="宋体" w:hAnsi="宋体" w:eastAsia="宋体" w:cs="宋体"/>
                <w:color w:val="auto"/>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现行有效件</w:t>
            </w:r>
            <w:r>
              <w:rPr>
                <w:rFonts w:ascii="宋体" w:hAnsi="宋体" w:eastAsia="宋体" w:cs="宋体"/>
                <w:color w:val="auto"/>
                <w:kern w:val="0"/>
                <w:sz w:val="20"/>
                <w:szCs w:val="20"/>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1"/>
                <w:szCs w:val="21"/>
                <w:lang w:val="en-US" w:eastAsia="zh-CN"/>
              </w:rPr>
              <w:t>3</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4"/>
                <w:szCs w:val="24"/>
                <w:lang w:val="en-US" w:eastAsia="zh-CN"/>
              </w:rPr>
            </w:pP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4"/>
                <w:szCs w:val="24"/>
                <w:lang w:val="en-US" w:eastAsia="zh-CN"/>
              </w:rPr>
            </w:pP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4"/>
                <w:szCs w:val="24"/>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bCs/>
          <w:color w:val="333333"/>
          <w:kern w:val="0"/>
          <w:sz w:val="24"/>
          <w:szCs w:val="24"/>
          <w:lang w:val="en-US" w:eastAsia="zh-CN"/>
        </w:rPr>
      </w:pP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ascii="黑体" w:hAnsi="黑体" w:eastAsia="黑体" w:cs="黑体"/>
          <w:b/>
          <w:bCs/>
          <w:color w:val="333333"/>
          <w:kern w:val="0"/>
          <w:sz w:val="24"/>
          <w:szCs w:val="24"/>
          <w:lang w:eastAsia="zh-CN"/>
        </w:rPr>
      </w:pPr>
      <w:r>
        <w:rPr>
          <w:rFonts w:hint="eastAsia" w:ascii="黑体" w:hAnsi="黑体" w:eastAsia="黑体" w:cs="黑体"/>
          <w:b/>
          <w:bCs/>
          <w:color w:val="333333"/>
          <w:kern w:val="0"/>
          <w:sz w:val="24"/>
          <w:szCs w:val="24"/>
          <w:lang w:eastAsia="zh-CN"/>
        </w:rPr>
        <w:t>三、收到和处理政府信息公开申请情况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kern w:val="0"/>
          <w:sz w:val="24"/>
          <w:szCs w:val="24"/>
          <w:lang w:eastAsia="zh-CN"/>
        </w:rPr>
      </w:pPr>
    </w:p>
    <w:tbl>
      <w:tblPr>
        <w:tblStyle w:val="4"/>
        <w:tblW w:w="9748" w:type="dxa"/>
        <w:jc w:val="center"/>
        <w:tblInd w:w="0" w:type="dxa"/>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楷体" w:hAnsi="楷体" w:eastAsia="楷体" w:cs="宋体"/>
                <w:color w:val="auto"/>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申请人情况</w:t>
            </w:r>
          </w:p>
        </w:tc>
      </w:tr>
      <w:tr>
        <w:tblPrEx>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r>
      <w:tr>
        <w:tblPrEx>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688"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商业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科研</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其他</w:t>
            </w:r>
          </w:p>
        </w:tc>
        <w:tc>
          <w:tcPr>
            <w:tcW w:w="689" w:type="dxa"/>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r>
      <w:tr>
        <w:tblPrEx>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（二）部分公开</w:t>
            </w:r>
            <w:r>
              <w:rPr>
                <w:rFonts w:hint="eastAsia" w:ascii="楷体" w:hAnsi="楷体" w:eastAsia="楷体" w:cs="宋体"/>
                <w:color w:val="auto"/>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eastAsia="zh-CN"/>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rPr>
            </w:pP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rPr>
            </w:pPr>
          </w:p>
        </w:tc>
      </w:tr>
      <w:tr>
        <w:tblPrEx>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lang w:val="en-US" w:eastAsia="zh-CN"/>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textAlignment w:val="auto"/>
        <w:rPr>
          <w:rFonts w:ascii="宋体" w:hAnsi="宋体" w:eastAsia="宋体" w:cs="宋体"/>
          <w:color w:val="333333"/>
          <w:kern w:val="0"/>
          <w:sz w:val="24"/>
          <w:szCs w:val="24"/>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ascii="黑体" w:hAnsi="黑体" w:eastAsia="黑体" w:cs="黑体"/>
          <w:b/>
          <w:bCs/>
          <w:color w:val="333333"/>
          <w:kern w:val="0"/>
          <w:sz w:val="24"/>
          <w:szCs w:val="24"/>
          <w:lang w:eastAsia="zh-CN"/>
        </w:rPr>
      </w:pPr>
      <w:r>
        <w:rPr>
          <w:rFonts w:hint="eastAsia" w:ascii="黑体" w:hAnsi="黑体" w:eastAsia="黑体" w:cs="黑体"/>
          <w:b/>
          <w:bCs/>
          <w:color w:val="333333"/>
          <w:kern w:val="0"/>
          <w:sz w:val="24"/>
          <w:szCs w:val="24"/>
          <w:lang w:eastAsia="zh-CN"/>
        </w:rPr>
        <w:t>四、政府信息公开行政复议、行政诉讼情况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kern w:val="0"/>
          <w:sz w:val="24"/>
          <w:szCs w:val="24"/>
          <w:lang w:eastAsia="zh-CN"/>
        </w:rPr>
      </w:pPr>
    </w:p>
    <w:tbl>
      <w:tblPr>
        <w:tblStyle w:val="4"/>
        <w:tblW w:w="9748" w:type="dxa"/>
        <w:jc w:val="center"/>
        <w:tblInd w:w="0" w:type="dxa"/>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行政诉讼</w:t>
            </w:r>
          </w:p>
        </w:tc>
      </w:tr>
      <w:tr>
        <w:tblPrEx>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复议后起诉</w:t>
            </w:r>
          </w:p>
        </w:tc>
      </w:tr>
      <w:tr>
        <w:tblPrEx>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ascii="宋体" w:hAnsi="宋体" w:eastAsia="宋体" w:cs="宋体"/>
                <w:color w:val="auto"/>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r>
      <w:tr>
        <w:tblPrEx>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 w:val="24"/>
                <w:szCs w:val="24"/>
                <w:lang w:val="en-US" w:eastAsia="zh-CN"/>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ascii="宋体" w:hAnsi="宋体" w:eastAsia="宋体" w:cs="宋体"/>
                <w:color w:val="auto"/>
                <w:kern w:val="0"/>
                <w:sz w:val="24"/>
                <w:szCs w:val="24"/>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480"/>
        <w:textAlignment w:val="auto"/>
        <w:rPr>
          <w:rFonts w:hint="eastAsia" w:ascii="宋体" w:hAnsi="宋体" w:eastAsia="宋体" w:cs="宋体"/>
          <w:b/>
          <w:bCs/>
          <w:color w:val="333333"/>
          <w:kern w:val="0"/>
          <w:sz w:val="24"/>
          <w:szCs w:val="24"/>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ascii="黑体" w:hAnsi="黑体" w:eastAsia="黑体" w:cs="黑体"/>
          <w:b/>
          <w:bCs/>
          <w:color w:val="333333"/>
          <w:kern w:val="0"/>
          <w:sz w:val="24"/>
          <w:szCs w:val="24"/>
        </w:rPr>
      </w:pPr>
      <w:r>
        <w:rPr>
          <w:rFonts w:hint="eastAsia" w:ascii="黑体" w:hAnsi="黑体" w:eastAsia="黑体" w:cs="黑体"/>
          <w:b/>
          <w:bCs/>
          <w:color w:val="333333"/>
          <w:kern w:val="0"/>
          <w:sz w:val="24"/>
          <w:szCs w:val="24"/>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24"/>
          <w:szCs w:val="24"/>
          <w:lang w:val="en-US" w:eastAsia="zh-CN"/>
        </w:rPr>
        <w:t>存在问题：单位人员较少，且每个人身兼多职，加之岗位调整较大，相关工作人员未接受政府信息公开工作培训，对政府信息公开工作不熟悉，公开工作缺少一定的专业技术人才，日常信息公开统计不够规范。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i w:val="0"/>
          <w:caps w:val="0"/>
          <w:color w:val="auto"/>
          <w:spacing w:val="0"/>
          <w:sz w:val="24"/>
          <w:szCs w:val="24"/>
          <w:lang w:val="en-US" w:eastAsia="zh-CN"/>
        </w:rPr>
        <w:t>下一步打算：一是加强人才引进，缓解人员不足问题，提高职工岗位专业性；二是加强组织学习相关业务，规范和加强气象政府信息公开工作，加强配套法律建设，积极积累信息公开的各种经验做法，更好地推进气象行政审批、气象服务等工作公开、透明，夯实工作机制基础，更好的、更全面的保障公民的知情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right="0" w:rightChars="0" w:firstLine="480"/>
        <w:textAlignment w:val="auto"/>
        <w:rPr>
          <w:rFonts w:hint="eastAsia" w:ascii="黑体" w:hAnsi="黑体" w:eastAsia="黑体" w:cs="黑体"/>
          <w:b/>
          <w:bCs/>
          <w:color w:val="333333"/>
          <w:kern w:val="0"/>
          <w:sz w:val="24"/>
          <w:szCs w:val="24"/>
        </w:rPr>
      </w:pPr>
      <w:r>
        <w:rPr>
          <w:rFonts w:hint="eastAsia" w:ascii="黑体" w:hAnsi="黑体" w:eastAsia="黑体" w:cs="黑体"/>
          <w:b/>
          <w:bCs/>
          <w:color w:val="333333"/>
          <w:kern w:val="0"/>
          <w:sz w:val="24"/>
          <w:szCs w:val="24"/>
        </w:rPr>
        <w:t>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i w:val="0"/>
          <w:caps w:val="0"/>
          <w:color w:val="auto"/>
          <w:spacing w:val="0"/>
          <w:sz w:val="24"/>
          <w:szCs w:val="24"/>
          <w:lang w:val="en-US" w:eastAsia="zh-CN"/>
        </w:rPr>
        <w:t>本报告将在都匀市人民政府网站上发布，向社会公开。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E2E0C1"/>
    <w:multiLevelType w:val="singleLevel"/>
    <w:tmpl w:val="F0E2E0C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jA2NmNlYTg0MGZmNDY5MDYwOWQ3N2RmMTEyODAifQ=="/>
  </w:docVars>
  <w:rsids>
    <w:rsidRoot w:val="487F3A9C"/>
    <w:rsid w:val="1C6F5B44"/>
    <w:rsid w:val="1EC22E79"/>
    <w:rsid w:val="22C937B8"/>
    <w:rsid w:val="2CAE7A5E"/>
    <w:rsid w:val="30CB271C"/>
    <w:rsid w:val="34204377"/>
    <w:rsid w:val="3D6A243E"/>
    <w:rsid w:val="47584D11"/>
    <w:rsid w:val="487F3A9C"/>
    <w:rsid w:val="58A16BC4"/>
    <w:rsid w:val="592E2BDF"/>
    <w:rsid w:val="64B647C8"/>
    <w:rsid w:val="675D7937"/>
    <w:rsid w:val="68DA4FB2"/>
    <w:rsid w:val="72C1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200</Words>
  <Characters>217</Characters>
  <Lines>0</Lines>
  <Paragraphs>0</Paragraphs>
  <ScaleCrop>false</ScaleCrop>
  <LinksUpToDate>false</LinksUpToDate>
  <CharactersWithSpaces>217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2023-01-13T04:04:00Z</dcterms:created>
  <dc:creator>萝卜与我与青菜</dc:creator>
  <cp:lastModifiedBy>都匀市局文秘</cp:lastModifiedBy>
  <dcterms:modified xsi:type="dcterms:W3CDTF">2023-01-18T09:49:58Z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09B0399547D947B6B2A496ABC2AFEF52</vt:lpwstr>
  </property>
</Properties>
</file>