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贵阳市气象局20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年度政府信息公开工作年度报告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lang w:eastAsia="zh-CN"/>
        </w:rPr>
        <w:t>（贵阳）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为使政府信息公开及时、准确，贵阳市气象局着眼于建立政府信息公开长效机制，使政府信息公开成为政务化、规范化持续推进。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一是加强和完善领导机制。充实和调整政府信息公开工作领导小组，成立由局一把手任组长，分管办公室局领导为任副组长，各科室负责人参加的政府信息公开工作领导成员，统一负责局政府信息公开工作的组织实施。落实政府信息公开的各项要求，做好牵头协调和监督检查。做到了领导、机构、人员“三到位”。同时，贵阳市气象局把政府信息公开工作分解到法规科和办公室，强化责任制。二是建立健全制度，及时按照《中华人民共和国政府信息公开条例》相关规定和省气象局、市委、市政府的相关工作要求，修订下发了《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贵阳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市气象局政府信息公开指南》。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年度，全市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县级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主动公开各类信息，其中行政许可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件，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比上年增加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政府采购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采购中金额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309.26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万元。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减少165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309.26万元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1024" w:firstLineChars="427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960" w:firstLineChars="4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4"/>
    <w:rsid w:val="00007AD7"/>
    <w:rsid w:val="00105C54"/>
    <w:rsid w:val="001A59AC"/>
    <w:rsid w:val="00390E05"/>
    <w:rsid w:val="004174AD"/>
    <w:rsid w:val="00663947"/>
    <w:rsid w:val="006A6A9F"/>
    <w:rsid w:val="00A41B9D"/>
    <w:rsid w:val="00D217DA"/>
    <w:rsid w:val="00F8443A"/>
    <w:rsid w:val="18133E1D"/>
    <w:rsid w:val="18950FB5"/>
    <w:rsid w:val="19B061F3"/>
    <w:rsid w:val="1A7A609A"/>
    <w:rsid w:val="1C9F2CEA"/>
    <w:rsid w:val="221165D1"/>
    <w:rsid w:val="27E75C6D"/>
    <w:rsid w:val="36465AA0"/>
    <w:rsid w:val="3CCA62B1"/>
    <w:rsid w:val="47D76EA5"/>
    <w:rsid w:val="4F0A14E8"/>
    <w:rsid w:val="52B94C7F"/>
    <w:rsid w:val="55AF412E"/>
    <w:rsid w:val="5AED35EE"/>
    <w:rsid w:val="64D72854"/>
    <w:rsid w:val="65C9553D"/>
    <w:rsid w:val="68EC791D"/>
    <w:rsid w:val="69110B52"/>
    <w:rsid w:val="6CB70EB2"/>
    <w:rsid w:val="7299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13</Pages>
  <Words>898</Words>
  <Characters>5121</Characters>
  <Lines>42</Lines>
  <Paragraphs>12</Paragraphs>
  <TotalTime>40</TotalTime>
  <ScaleCrop>false</ScaleCrop>
  <LinksUpToDate>false</LinksUpToDate>
  <CharactersWithSpaces>6007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2020-03-02T00:58:00Z</dcterms:created>
  <dc:creator> 李小平</dc:creator>
  <cp:lastModifiedBy>石奎(拟稿)</cp:lastModifiedBy>
  <dcterms:modified xsi:type="dcterms:W3CDTF">2022-02-16T02:02:23Z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6B486936076D4BA58E44CD174155B84B</vt:lpwstr>
  </property>
</Properties>
</file>